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72F38A8" w14:textId="77777777" w:rsidR="00317BE3" w:rsidRDefault="00A53922" w:rsidP="00EA2A5C">
      <w:pPr>
        <w:pStyle w:val="normal0"/>
        <w:jc w:val="center"/>
      </w:pPr>
      <w:r>
        <w:rPr>
          <w:b/>
          <w:sz w:val="24"/>
          <w:szCs w:val="24"/>
        </w:rPr>
        <w:t>Identifiers for the 21st century: How to design, provision, and reuse identifiers to maximize data utility and impact</w:t>
      </w:r>
    </w:p>
    <w:p w14:paraId="499D5CB2" w14:textId="77777777" w:rsidR="00317BE3" w:rsidRDefault="00317BE3" w:rsidP="00EA2A5C">
      <w:pPr>
        <w:pStyle w:val="normal0"/>
      </w:pPr>
    </w:p>
    <w:p w14:paraId="34FA066F" w14:textId="77777777" w:rsidR="00317BE3" w:rsidRDefault="00A53922" w:rsidP="00EA2A5C">
      <w:pPr>
        <w:pStyle w:val="normal0"/>
      </w:pPr>
      <w:r>
        <w:rPr>
          <w:sz w:val="20"/>
          <w:szCs w:val="20"/>
        </w:rPr>
        <w:t>Julie A McMurry</w:t>
      </w:r>
      <w:r>
        <w:rPr>
          <w:sz w:val="20"/>
          <w:szCs w:val="20"/>
          <w:vertAlign w:val="superscript"/>
        </w:rPr>
        <w:t>1</w:t>
      </w:r>
      <w:r>
        <w:rPr>
          <w:sz w:val="20"/>
          <w:szCs w:val="20"/>
        </w:rPr>
        <w:t>, Nick Juty</w:t>
      </w:r>
      <w:r>
        <w:rPr>
          <w:sz w:val="20"/>
          <w:szCs w:val="20"/>
          <w:vertAlign w:val="superscript"/>
        </w:rPr>
        <w:t>2</w:t>
      </w:r>
      <w:r>
        <w:rPr>
          <w:sz w:val="20"/>
          <w:szCs w:val="20"/>
        </w:rPr>
        <w:t xml:space="preserve">, </w:t>
      </w:r>
      <w:proofErr w:type="spellStart"/>
      <w:r>
        <w:rPr>
          <w:sz w:val="20"/>
          <w:szCs w:val="20"/>
        </w:rPr>
        <w:t>Niklas</w:t>
      </w:r>
      <w:proofErr w:type="spellEnd"/>
      <w:r>
        <w:rPr>
          <w:sz w:val="20"/>
          <w:szCs w:val="20"/>
        </w:rPr>
        <w:t xml:space="preserve"> Blomberg</w:t>
      </w:r>
      <w:r>
        <w:rPr>
          <w:sz w:val="20"/>
          <w:szCs w:val="20"/>
          <w:vertAlign w:val="superscript"/>
        </w:rPr>
        <w:t>4</w:t>
      </w:r>
      <w:r>
        <w:rPr>
          <w:sz w:val="20"/>
          <w:szCs w:val="20"/>
        </w:rPr>
        <w:t>, Tony Burdett</w:t>
      </w:r>
      <w:r>
        <w:rPr>
          <w:sz w:val="20"/>
          <w:szCs w:val="20"/>
          <w:vertAlign w:val="superscript"/>
        </w:rPr>
        <w:t>2</w:t>
      </w:r>
      <w:r>
        <w:rPr>
          <w:sz w:val="20"/>
          <w:szCs w:val="20"/>
        </w:rPr>
        <w:t>, Tom Conlin</w:t>
      </w:r>
      <w:r>
        <w:rPr>
          <w:sz w:val="20"/>
          <w:szCs w:val="20"/>
          <w:vertAlign w:val="superscript"/>
        </w:rPr>
        <w:t>1</w:t>
      </w:r>
      <w:r>
        <w:rPr>
          <w:sz w:val="20"/>
          <w:szCs w:val="20"/>
        </w:rPr>
        <w:t>, Nathalie Conte</w:t>
      </w:r>
      <w:r>
        <w:rPr>
          <w:sz w:val="20"/>
          <w:szCs w:val="20"/>
          <w:vertAlign w:val="superscript"/>
        </w:rPr>
        <w:t>2</w:t>
      </w:r>
      <w:r>
        <w:rPr>
          <w:sz w:val="20"/>
          <w:szCs w:val="20"/>
        </w:rPr>
        <w:t xml:space="preserve">, </w:t>
      </w:r>
      <w:proofErr w:type="spellStart"/>
      <w:r>
        <w:rPr>
          <w:sz w:val="20"/>
          <w:szCs w:val="20"/>
        </w:rPr>
        <w:t>Mélanie</w:t>
      </w:r>
      <w:proofErr w:type="spellEnd"/>
      <w:r>
        <w:rPr>
          <w:sz w:val="20"/>
          <w:szCs w:val="20"/>
        </w:rPr>
        <w:t xml:space="preserve"> Courtot</w:t>
      </w:r>
      <w:r>
        <w:rPr>
          <w:sz w:val="20"/>
          <w:szCs w:val="20"/>
          <w:vertAlign w:val="superscript"/>
        </w:rPr>
        <w:t>2</w:t>
      </w:r>
      <w:r>
        <w:rPr>
          <w:sz w:val="20"/>
          <w:szCs w:val="20"/>
        </w:rPr>
        <w:t>, John Deck</w:t>
      </w:r>
      <w:r>
        <w:rPr>
          <w:sz w:val="20"/>
          <w:szCs w:val="20"/>
          <w:vertAlign w:val="superscript"/>
        </w:rPr>
        <w:t>3</w:t>
      </w:r>
      <w:r>
        <w:rPr>
          <w:sz w:val="20"/>
          <w:szCs w:val="20"/>
        </w:rPr>
        <w:t>, Michel Dumontier</w:t>
      </w:r>
      <w:r>
        <w:rPr>
          <w:sz w:val="20"/>
          <w:szCs w:val="20"/>
          <w:vertAlign w:val="superscript"/>
        </w:rPr>
        <w:t>5</w:t>
      </w:r>
      <w:r>
        <w:rPr>
          <w:sz w:val="20"/>
          <w:szCs w:val="20"/>
        </w:rPr>
        <w:t xml:space="preserve">, </w:t>
      </w:r>
      <w:proofErr w:type="spellStart"/>
      <w:r>
        <w:rPr>
          <w:sz w:val="20"/>
          <w:szCs w:val="20"/>
        </w:rPr>
        <w:t>Donal</w:t>
      </w:r>
      <w:proofErr w:type="spellEnd"/>
      <w:r>
        <w:rPr>
          <w:sz w:val="20"/>
          <w:szCs w:val="20"/>
        </w:rPr>
        <w:t xml:space="preserve"> K Fellows</w:t>
      </w:r>
      <w:r>
        <w:rPr>
          <w:sz w:val="20"/>
          <w:szCs w:val="20"/>
          <w:vertAlign w:val="superscript"/>
        </w:rPr>
        <w:t>6</w:t>
      </w:r>
      <w:r>
        <w:rPr>
          <w:sz w:val="20"/>
          <w:szCs w:val="20"/>
        </w:rPr>
        <w:t>, Alejandra Gonzalez-Beltran</w:t>
      </w:r>
      <w:r>
        <w:rPr>
          <w:sz w:val="20"/>
          <w:szCs w:val="20"/>
          <w:vertAlign w:val="superscript"/>
        </w:rPr>
        <w:t>7</w:t>
      </w:r>
      <w:r>
        <w:rPr>
          <w:sz w:val="20"/>
          <w:szCs w:val="20"/>
        </w:rPr>
        <w:t>, Philipp Gormanns</w:t>
      </w:r>
      <w:r>
        <w:rPr>
          <w:sz w:val="20"/>
          <w:szCs w:val="20"/>
          <w:vertAlign w:val="superscript"/>
        </w:rPr>
        <w:t>8</w:t>
      </w:r>
      <w:r>
        <w:rPr>
          <w:sz w:val="20"/>
          <w:szCs w:val="20"/>
        </w:rPr>
        <w:t>, Janna Hastings</w:t>
      </w:r>
      <w:r>
        <w:rPr>
          <w:sz w:val="20"/>
          <w:szCs w:val="20"/>
          <w:vertAlign w:val="superscript"/>
        </w:rPr>
        <w:t>12</w:t>
      </w:r>
      <w:r>
        <w:rPr>
          <w:sz w:val="20"/>
          <w:szCs w:val="20"/>
        </w:rPr>
        <w:t>, Melissa A Haendel</w:t>
      </w:r>
      <w:r>
        <w:rPr>
          <w:sz w:val="20"/>
          <w:szCs w:val="20"/>
          <w:vertAlign w:val="superscript"/>
        </w:rPr>
        <w:t>1</w:t>
      </w:r>
      <w:r>
        <w:rPr>
          <w:sz w:val="20"/>
          <w:szCs w:val="20"/>
        </w:rPr>
        <w:t>, Henning Hermjakob</w:t>
      </w:r>
      <w:r>
        <w:rPr>
          <w:sz w:val="20"/>
          <w:szCs w:val="20"/>
          <w:vertAlign w:val="superscript"/>
        </w:rPr>
        <w:t>2</w:t>
      </w:r>
      <w:r>
        <w:rPr>
          <w:sz w:val="20"/>
          <w:szCs w:val="20"/>
        </w:rPr>
        <w:t>, Jean-</w:t>
      </w:r>
      <w:proofErr w:type="spellStart"/>
      <w:r>
        <w:rPr>
          <w:sz w:val="20"/>
          <w:szCs w:val="20"/>
        </w:rPr>
        <w:t>Karim</w:t>
      </w:r>
      <w:proofErr w:type="spellEnd"/>
      <w:r>
        <w:rPr>
          <w:sz w:val="20"/>
          <w:szCs w:val="20"/>
        </w:rPr>
        <w:t xml:space="preserve"> Hériché</w:t>
      </w:r>
      <w:r>
        <w:rPr>
          <w:sz w:val="20"/>
          <w:szCs w:val="20"/>
          <w:vertAlign w:val="superscript"/>
        </w:rPr>
        <w:t>9</w:t>
      </w:r>
      <w:r>
        <w:rPr>
          <w:sz w:val="20"/>
          <w:szCs w:val="20"/>
        </w:rPr>
        <w:t>, Jon C Ison</w:t>
      </w:r>
      <w:r>
        <w:rPr>
          <w:sz w:val="20"/>
          <w:szCs w:val="20"/>
          <w:vertAlign w:val="superscript"/>
        </w:rPr>
        <w:t>10</w:t>
      </w:r>
      <w:r>
        <w:rPr>
          <w:sz w:val="20"/>
          <w:szCs w:val="20"/>
        </w:rPr>
        <w:t>, Rafael C Jimenez</w:t>
      </w:r>
      <w:r>
        <w:rPr>
          <w:sz w:val="20"/>
          <w:szCs w:val="20"/>
          <w:vertAlign w:val="superscript"/>
        </w:rPr>
        <w:t>4</w:t>
      </w:r>
      <w:r>
        <w:rPr>
          <w:sz w:val="20"/>
          <w:szCs w:val="20"/>
        </w:rPr>
        <w:t>, Simon Jupp</w:t>
      </w:r>
      <w:r>
        <w:rPr>
          <w:sz w:val="20"/>
          <w:szCs w:val="20"/>
          <w:vertAlign w:val="superscript"/>
        </w:rPr>
        <w:t>2</w:t>
      </w:r>
      <w:r>
        <w:rPr>
          <w:sz w:val="20"/>
          <w:szCs w:val="20"/>
        </w:rPr>
        <w:t>, John Kunze</w:t>
      </w:r>
      <w:r>
        <w:rPr>
          <w:sz w:val="20"/>
          <w:szCs w:val="20"/>
          <w:vertAlign w:val="superscript"/>
        </w:rPr>
        <w:t>11</w:t>
      </w:r>
      <w:r>
        <w:rPr>
          <w:sz w:val="20"/>
          <w:szCs w:val="20"/>
        </w:rPr>
        <w:t>, Camille Laibe</w:t>
      </w:r>
      <w:r>
        <w:rPr>
          <w:sz w:val="20"/>
          <w:szCs w:val="20"/>
          <w:vertAlign w:val="superscript"/>
        </w:rPr>
        <w:t>2</w:t>
      </w:r>
      <w:r>
        <w:rPr>
          <w:sz w:val="20"/>
          <w:szCs w:val="20"/>
        </w:rPr>
        <w:t>, Nicolas Le Novère</w:t>
      </w:r>
      <w:r>
        <w:rPr>
          <w:sz w:val="20"/>
          <w:szCs w:val="20"/>
          <w:vertAlign w:val="superscript"/>
        </w:rPr>
        <w:t>2</w:t>
      </w:r>
      <w:proofErr w:type="gramStart"/>
      <w:r>
        <w:rPr>
          <w:sz w:val="20"/>
          <w:szCs w:val="20"/>
          <w:vertAlign w:val="superscript"/>
        </w:rPr>
        <w:t>,12</w:t>
      </w:r>
      <w:proofErr w:type="gramEnd"/>
      <w:r>
        <w:rPr>
          <w:sz w:val="20"/>
          <w:szCs w:val="20"/>
        </w:rPr>
        <w:t>, James Malone</w:t>
      </w:r>
      <w:r>
        <w:rPr>
          <w:sz w:val="20"/>
          <w:szCs w:val="20"/>
          <w:vertAlign w:val="superscript"/>
        </w:rPr>
        <w:t>2</w:t>
      </w:r>
      <w:r>
        <w:rPr>
          <w:sz w:val="20"/>
          <w:szCs w:val="20"/>
        </w:rPr>
        <w:t>, Maria Jesus Martin</w:t>
      </w:r>
      <w:r>
        <w:rPr>
          <w:sz w:val="20"/>
          <w:szCs w:val="20"/>
          <w:vertAlign w:val="superscript"/>
        </w:rPr>
        <w:t>2</w:t>
      </w:r>
      <w:r>
        <w:rPr>
          <w:sz w:val="20"/>
          <w:szCs w:val="20"/>
        </w:rPr>
        <w:t>, Johanna R McEntyre</w:t>
      </w:r>
      <w:r>
        <w:rPr>
          <w:sz w:val="20"/>
          <w:szCs w:val="20"/>
          <w:vertAlign w:val="superscript"/>
        </w:rPr>
        <w:t>2</w:t>
      </w:r>
      <w:r>
        <w:rPr>
          <w:sz w:val="20"/>
          <w:szCs w:val="20"/>
        </w:rPr>
        <w:t>, Chris Morris</w:t>
      </w:r>
      <w:r>
        <w:rPr>
          <w:sz w:val="20"/>
          <w:szCs w:val="20"/>
          <w:vertAlign w:val="superscript"/>
        </w:rPr>
        <w:t>13</w:t>
      </w:r>
      <w:r>
        <w:rPr>
          <w:sz w:val="20"/>
          <w:szCs w:val="20"/>
        </w:rPr>
        <w:t xml:space="preserve">, </w:t>
      </w:r>
      <w:proofErr w:type="spellStart"/>
      <w:r>
        <w:rPr>
          <w:sz w:val="20"/>
          <w:szCs w:val="20"/>
        </w:rPr>
        <w:t>Juha</w:t>
      </w:r>
      <w:proofErr w:type="spellEnd"/>
      <w:r>
        <w:rPr>
          <w:sz w:val="20"/>
          <w:szCs w:val="20"/>
        </w:rPr>
        <w:t xml:space="preserve"> Muilu</w:t>
      </w:r>
      <w:r>
        <w:rPr>
          <w:sz w:val="20"/>
          <w:szCs w:val="20"/>
          <w:vertAlign w:val="superscript"/>
        </w:rPr>
        <w:t>14</w:t>
      </w:r>
      <w:r>
        <w:rPr>
          <w:sz w:val="20"/>
          <w:szCs w:val="20"/>
        </w:rPr>
        <w:t>, Wolfgang Müller</w:t>
      </w:r>
      <w:r>
        <w:rPr>
          <w:sz w:val="20"/>
          <w:szCs w:val="20"/>
          <w:vertAlign w:val="superscript"/>
        </w:rPr>
        <w:t>15</w:t>
      </w:r>
      <w:r>
        <w:rPr>
          <w:sz w:val="20"/>
          <w:szCs w:val="20"/>
        </w:rPr>
        <w:t>, Christopher J Mungall</w:t>
      </w:r>
      <w:r>
        <w:rPr>
          <w:sz w:val="20"/>
          <w:szCs w:val="20"/>
          <w:vertAlign w:val="superscript"/>
        </w:rPr>
        <w:t>16</w:t>
      </w:r>
      <w:r>
        <w:rPr>
          <w:sz w:val="20"/>
          <w:szCs w:val="20"/>
        </w:rPr>
        <w:t>, Philippe Rocca-Serra</w:t>
      </w:r>
      <w:r>
        <w:rPr>
          <w:sz w:val="20"/>
          <w:szCs w:val="20"/>
          <w:vertAlign w:val="superscript"/>
        </w:rPr>
        <w:t>7</w:t>
      </w:r>
      <w:r>
        <w:rPr>
          <w:sz w:val="20"/>
          <w:szCs w:val="20"/>
        </w:rPr>
        <w:t>, Susanna-</w:t>
      </w:r>
      <w:proofErr w:type="spellStart"/>
      <w:r>
        <w:rPr>
          <w:sz w:val="20"/>
          <w:szCs w:val="20"/>
        </w:rPr>
        <w:t>Assunta</w:t>
      </w:r>
      <w:proofErr w:type="spellEnd"/>
      <w:r>
        <w:rPr>
          <w:sz w:val="20"/>
          <w:szCs w:val="20"/>
        </w:rPr>
        <w:t xml:space="preserve"> Sansone</w:t>
      </w:r>
      <w:r>
        <w:rPr>
          <w:sz w:val="20"/>
          <w:szCs w:val="20"/>
          <w:vertAlign w:val="superscript"/>
        </w:rPr>
        <w:t>7</w:t>
      </w:r>
      <w:r>
        <w:rPr>
          <w:sz w:val="20"/>
          <w:szCs w:val="20"/>
        </w:rPr>
        <w:t>, Murat Sariyar</w:t>
      </w:r>
      <w:r>
        <w:rPr>
          <w:sz w:val="20"/>
          <w:szCs w:val="20"/>
          <w:vertAlign w:val="superscript"/>
        </w:rPr>
        <w:t>17,18</w:t>
      </w:r>
      <w:r>
        <w:rPr>
          <w:sz w:val="20"/>
          <w:szCs w:val="20"/>
        </w:rPr>
        <w:t>, Jacky L Snoep</w:t>
      </w:r>
      <w:r>
        <w:rPr>
          <w:sz w:val="20"/>
          <w:szCs w:val="20"/>
          <w:vertAlign w:val="superscript"/>
        </w:rPr>
        <w:t>19,20</w:t>
      </w:r>
      <w:r>
        <w:rPr>
          <w:sz w:val="20"/>
          <w:szCs w:val="20"/>
        </w:rPr>
        <w:t>, Natalie J Stanford</w:t>
      </w:r>
      <w:r>
        <w:rPr>
          <w:sz w:val="20"/>
          <w:szCs w:val="20"/>
          <w:vertAlign w:val="superscript"/>
        </w:rPr>
        <w:t>6</w:t>
      </w:r>
      <w:r>
        <w:rPr>
          <w:sz w:val="20"/>
          <w:szCs w:val="20"/>
        </w:rPr>
        <w:t xml:space="preserve">, </w:t>
      </w:r>
      <w:proofErr w:type="spellStart"/>
      <w:r>
        <w:rPr>
          <w:sz w:val="20"/>
          <w:szCs w:val="20"/>
        </w:rPr>
        <w:t>Stian</w:t>
      </w:r>
      <w:proofErr w:type="spellEnd"/>
      <w:r>
        <w:rPr>
          <w:sz w:val="20"/>
          <w:szCs w:val="20"/>
        </w:rPr>
        <w:t xml:space="preserve"> Soiland-Reyes</w:t>
      </w:r>
      <w:r>
        <w:rPr>
          <w:sz w:val="20"/>
          <w:szCs w:val="20"/>
          <w:vertAlign w:val="superscript"/>
        </w:rPr>
        <w:t>6</w:t>
      </w:r>
      <w:r>
        <w:rPr>
          <w:sz w:val="20"/>
          <w:szCs w:val="20"/>
        </w:rPr>
        <w:t>, Neil Swainston</w:t>
      </w:r>
      <w:r>
        <w:rPr>
          <w:sz w:val="20"/>
          <w:szCs w:val="20"/>
          <w:vertAlign w:val="superscript"/>
        </w:rPr>
        <w:t>21</w:t>
      </w:r>
      <w:r>
        <w:rPr>
          <w:sz w:val="20"/>
          <w:szCs w:val="20"/>
        </w:rPr>
        <w:t>, Nicole Washington</w:t>
      </w:r>
      <w:r>
        <w:rPr>
          <w:sz w:val="20"/>
          <w:szCs w:val="20"/>
          <w:vertAlign w:val="superscript"/>
        </w:rPr>
        <w:t>16</w:t>
      </w:r>
      <w:r>
        <w:rPr>
          <w:sz w:val="20"/>
          <w:szCs w:val="20"/>
        </w:rPr>
        <w:t>, Alan R Williams</w:t>
      </w:r>
      <w:r>
        <w:rPr>
          <w:sz w:val="20"/>
          <w:szCs w:val="20"/>
          <w:vertAlign w:val="superscript"/>
        </w:rPr>
        <w:t>6</w:t>
      </w:r>
      <w:r>
        <w:rPr>
          <w:sz w:val="20"/>
          <w:szCs w:val="20"/>
        </w:rPr>
        <w:t>, Katherine Wolstencroft</w:t>
      </w:r>
      <w:r>
        <w:rPr>
          <w:sz w:val="20"/>
          <w:szCs w:val="20"/>
          <w:vertAlign w:val="superscript"/>
        </w:rPr>
        <w:t>22</w:t>
      </w:r>
      <w:r>
        <w:rPr>
          <w:sz w:val="20"/>
          <w:szCs w:val="20"/>
        </w:rPr>
        <w:t>, Carole Goble</w:t>
      </w:r>
      <w:r>
        <w:rPr>
          <w:sz w:val="20"/>
          <w:szCs w:val="20"/>
          <w:vertAlign w:val="superscript"/>
        </w:rPr>
        <w:t>6</w:t>
      </w:r>
      <w:r>
        <w:rPr>
          <w:sz w:val="20"/>
          <w:szCs w:val="20"/>
        </w:rPr>
        <w:t>, Helen Parkinson</w:t>
      </w:r>
      <w:r>
        <w:rPr>
          <w:sz w:val="20"/>
          <w:szCs w:val="20"/>
          <w:vertAlign w:val="superscript"/>
        </w:rPr>
        <w:t>2</w:t>
      </w:r>
    </w:p>
    <w:p w14:paraId="76D5AE22" w14:textId="77777777" w:rsidR="00317BE3" w:rsidRDefault="00317BE3" w:rsidP="00EA2A5C">
      <w:pPr>
        <w:pStyle w:val="normal0"/>
      </w:pPr>
    </w:p>
    <w:p w14:paraId="7E863812" w14:textId="77777777" w:rsidR="00317BE3" w:rsidRDefault="00A53922" w:rsidP="00EA2A5C">
      <w:pPr>
        <w:pStyle w:val="normal0"/>
      </w:pPr>
      <w:r>
        <w:rPr>
          <w:sz w:val="16"/>
          <w:szCs w:val="16"/>
        </w:rPr>
        <w:t>1 Department of Medical Informatics and Epidemiology and OHSU Library, Oregon Health &amp; Science University, Portland, USA.</w:t>
      </w:r>
    </w:p>
    <w:p w14:paraId="7E221621" w14:textId="77777777" w:rsidR="00317BE3" w:rsidRDefault="00A53922" w:rsidP="00EA2A5C">
      <w:pPr>
        <w:pStyle w:val="normal0"/>
      </w:pPr>
      <w:r>
        <w:rPr>
          <w:sz w:val="16"/>
          <w:szCs w:val="16"/>
        </w:rPr>
        <w:t xml:space="preserve">2 European Bioinformatics Institute (EMBL-EBI), European Molecular Biology Laboratory, </w:t>
      </w:r>
      <w:proofErr w:type="spellStart"/>
      <w:r>
        <w:rPr>
          <w:sz w:val="16"/>
          <w:szCs w:val="16"/>
        </w:rPr>
        <w:t>Wellcome</w:t>
      </w:r>
      <w:proofErr w:type="spellEnd"/>
      <w:r>
        <w:rPr>
          <w:sz w:val="16"/>
          <w:szCs w:val="16"/>
        </w:rPr>
        <w:t xml:space="preserve"> Trust Genome Campus, </w:t>
      </w:r>
      <w:proofErr w:type="spellStart"/>
      <w:r>
        <w:rPr>
          <w:sz w:val="16"/>
          <w:szCs w:val="16"/>
        </w:rPr>
        <w:t>Hinxton</w:t>
      </w:r>
      <w:proofErr w:type="spellEnd"/>
      <w:r>
        <w:rPr>
          <w:sz w:val="16"/>
          <w:szCs w:val="16"/>
        </w:rPr>
        <w:t>, Cambridge, UK</w:t>
      </w:r>
    </w:p>
    <w:p w14:paraId="7CB7D91C" w14:textId="77777777" w:rsidR="00317BE3" w:rsidRDefault="00A53922" w:rsidP="00EA2A5C">
      <w:pPr>
        <w:pStyle w:val="normal0"/>
      </w:pPr>
      <w:r>
        <w:rPr>
          <w:sz w:val="16"/>
          <w:szCs w:val="16"/>
        </w:rPr>
        <w:t>3 Berkeley Natural History Museums, University of California at Berkeley</w:t>
      </w:r>
    </w:p>
    <w:p w14:paraId="34110162" w14:textId="77777777" w:rsidR="00317BE3" w:rsidRDefault="00A53922" w:rsidP="00EA2A5C">
      <w:pPr>
        <w:pStyle w:val="normal0"/>
      </w:pPr>
      <w:r>
        <w:rPr>
          <w:sz w:val="16"/>
          <w:szCs w:val="16"/>
        </w:rPr>
        <w:t xml:space="preserve">4 ELIXIR </w:t>
      </w:r>
      <w:proofErr w:type="gramStart"/>
      <w:r>
        <w:rPr>
          <w:sz w:val="16"/>
          <w:szCs w:val="16"/>
        </w:rPr>
        <w:t>Hub</w:t>
      </w:r>
      <w:proofErr w:type="gramEnd"/>
      <w:r>
        <w:rPr>
          <w:sz w:val="16"/>
          <w:szCs w:val="16"/>
        </w:rPr>
        <w:t xml:space="preserve">, </w:t>
      </w:r>
      <w:proofErr w:type="spellStart"/>
      <w:r>
        <w:rPr>
          <w:sz w:val="16"/>
          <w:szCs w:val="16"/>
        </w:rPr>
        <w:t>Wellcome</w:t>
      </w:r>
      <w:proofErr w:type="spellEnd"/>
      <w:r>
        <w:rPr>
          <w:sz w:val="16"/>
          <w:szCs w:val="16"/>
        </w:rPr>
        <w:t xml:space="preserve"> Trust Genome Campus, </w:t>
      </w:r>
      <w:proofErr w:type="spellStart"/>
      <w:r>
        <w:rPr>
          <w:sz w:val="16"/>
          <w:szCs w:val="16"/>
        </w:rPr>
        <w:t>Hinxton</w:t>
      </w:r>
      <w:proofErr w:type="spellEnd"/>
      <w:r>
        <w:rPr>
          <w:sz w:val="16"/>
          <w:szCs w:val="16"/>
        </w:rPr>
        <w:t>, Cambridge, United Kingdom</w:t>
      </w:r>
    </w:p>
    <w:p w14:paraId="0B6EC9F9" w14:textId="77777777" w:rsidR="00317BE3" w:rsidRDefault="00A53922" w:rsidP="00EA2A5C">
      <w:pPr>
        <w:pStyle w:val="normal0"/>
      </w:pPr>
      <w:r>
        <w:rPr>
          <w:sz w:val="16"/>
          <w:szCs w:val="16"/>
        </w:rPr>
        <w:t xml:space="preserve">5 </w:t>
      </w:r>
      <w:proofErr w:type="gramStart"/>
      <w:r>
        <w:rPr>
          <w:sz w:val="16"/>
          <w:szCs w:val="16"/>
        </w:rPr>
        <w:t>Center</w:t>
      </w:r>
      <w:proofErr w:type="gramEnd"/>
      <w:r>
        <w:rPr>
          <w:sz w:val="16"/>
          <w:szCs w:val="16"/>
        </w:rPr>
        <w:t xml:space="preserve"> for Biomedical Informatics Research, Stanford University, Stanford, California, USA</w:t>
      </w:r>
    </w:p>
    <w:p w14:paraId="3446FFDE" w14:textId="77777777" w:rsidR="00317BE3" w:rsidRDefault="00A53922" w:rsidP="00EA2A5C">
      <w:pPr>
        <w:pStyle w:val="normal0"/>
      </w:pPr>
      <w:r>
        <w:rPr>
          <w:sz w:val="16"/>
          <w:szCs w:val="16"/>
        </w:rPr>
        <w:t>6 School of Computer Science, The University of Manchester, Manchester, United Kingdom</w:t>
      </w:r>
    </w:p>
    <w:p w14:paraId="22D2BA26" w14:textId="77777777" w:rsidR="00317BE3" w:rsidRDefault="00A53922" w:rsidP="00EA2A5C">
      <w:pPr>
        <w:pStyle w:val="normal0"/>
      </w:pPr>
      <w:r>
        <w:rPr>
          <w:sz w:val="16"/>
          <w:szCs w:val="16"/>
        </w:rPr>
        <w:t>7 Oxford e-Research Centre, University of Oxford, Oxford, United Kingdom</w:t>
      </w:r>
    </w:p>
    <w:p w14:paraId="093BF6C2" w14:textId="77777777" w:rsidR="00317BE3" w:rsidRDefault="00A53922" w:rsidP="00EA2A5C">
      <w:pPr>
        <w:pStyle w:val="normal0"/>
      </w:pPr>
      <w:r>
        <w:rPr>
          <w:sz w:val="16"/>
          <w:szCs w:val="16"/>
        </w:rPr>
        <w:t xml:space="preserve">8 Institute of Experimental Genetics, Helmholtz Centre Munich -German Research Center for Environmental Health (GmbH), </w:t>
      </w:r>
      <w:proofErr w:type="spellStart"/>
      <w:r>
        <w:rPr>
          <w:sz w:val="16"/>
          <w:szCs w:val="16"/>
        </w:rPr>
        <w:t>Neuherberg</w:t>
      </w:r>
      <w:proofErr w:type="spellEnd"/>
      <w:r>
        <w:rPr>
          <w:sz w:val="16"/>
          <w:szCs w:val="16"/>
        </w:rPr>
        <w:t xml:space="preserve">, Germany </w:t>
      </w:r>
    </w:p>
    <w:p w14:paraId="5C7637BB" w14:textId="77777777" w:rsidR="00317BE3" w:rsidRDefault="00A53922" w:rsidP="00EA2A5C">
      <w:pPr>
        <w:pStyle w:val="normal0"/>
      </w:pPr>
      <w:r>
        <w:rPr>
          <w:sz w:val="16"/>
          <w:szCs w:val="16"/>
        </w:rPr>
        <w:t xml:space="preserve">9 European Molecular Biology </w:t>
      </w:r>
      <w:proofErr w:type="gramStart"/>
      <w:r>
        <w:rPr>
          <w:sz w:val="16"/>
          <w:szCs w:val="16"/>
        </w:rPr>
        <w:t>Laboratory</w:t>
      </w:r>
      <w:proofErr w:type="gramEnd"/>
      <w:r>
        <w:rPr>
          <w:sz w:val="16"/>
          <w:szCs w:val="16"/>
        </w:rPr>
        <w:t>, Heidelberg, Germany</w:t>
      </w:r>
    </w:p>
    <w:p w14:paraId="3E44F72C" w14:textId="77777777" w:rsidR="00317BE3" w:rsidRDefault="00A53922" w:rsidP="00EA2A5C">
      <w:pPr>
        <w:pStyle w:val="normal0"/>
      </w:pPr>
      <w:r>
        <w:rPr>
          <w:sz w:val="16"/>
          <w:szCs w:val="16"/>
        </w:rPr>
        <w:t xml:space="preserve">10 Center for Biological Sequence Analysis, Department of Systems Biology, Technical University of Denmark, </w:t>
      </w:r>
      <w:proofErr w:type="spellStart"/>
      <w:r>
        <w:rPr>
          <w:sz w:val="16"/>
          <w:szCs w:val="16"/>
        </w:rPr>
        <w:t>Lyngby</w:t>
      </w:r>
      <w:proofErr w:type="spellEnd"/>
      <w:r>
        <w:rPr>
          <w:sz w:val="16"/>
          <w:szCs w:val="16"/>
        </w:rPr>
        <w:t>, Denmark</w:t>
      </w:r>
    </w:p>
    <w:p w14:paraId="76CB1E96" w14:textId="77777777" w:rsidR="00317BE3" w:rsidRDefault="00A53922" w:rsidP="00EA2A5C">
      <w:pPr>
        <w:pStyle w:val="normal0"/>
      </w:pPr>
      <w:proofErr w:type="gramStart"/>
      <w:r>
        <w:rPr>
          <w:sz w:val="16"/>
          <w:szCs w:val="16"/>
        </w:rPr>
        <w:t>11 California Digital Library</w:t>
      </w:r>
      <w:proofErr w:type="gramEnd"/>
      <w:r>
        <w:rPr>
          <w:sz w:val="16"/>
          <w:szCs w:val="16"/>
        </w:rPr>
        <w:t xml:space="preserve"> (CDL)</w:t>
      </w:r>
    </w:p>
    <w:p w14:paraId="696144E5" w14:textId="77777777" w:rsidR="00317BE3" w:rsidRDefault="00A53922" w:rsidP="00EA2A5C">
      <w:pPr>
        <w:pStyle w:val="normal0"/>
      </w:pPr>
      <w:r>
        <w:rPr>
          <w:sz w:val="16"/>
          <w:szCs w:val="16"/>
        </w:rPr>
        <w:t xml:space="preserve">12 </w:t>
      </w:r>
      <w:proofErr w:type="spellStart"/>
      <w:r>
        <w:rPr>
          <w:sz w:val="16"/>
          <w:szCs w:val="16"/>
        </w:rPr>
        <w:t>Babraham</w:t>
      </w:r>
      <w:proofErr w:type="spellEnd"/>
      <w:r>
        <w:rPr>
          <w:sz w:val="16"/>
          <w:szCs w:val="16"/>
        </w:rPr>
        <w:t xml:space="preserve"> Institute, Cambridge, United Kingdom</w:t>
      </w:r>
    </w:p>
    <w:p w14:paraId="539CEE51" w14:textId="77777777" w:rsidR="00317BE3" w:rsidRDefault="00A53922" w:rsidP="00EA2A5C">
      <w:pPr>
        <w:pStyle w:val="normal0"/>
      </w:pPr>
      <w:r>
        <w:rPr>
          <w:sz w:val="16"/>
          <w:szCs w:val="16"/>
        </w:rPr>
        <w:t xml:space="preserve">13 STFC, </w:t>
      </w:r>
      <w:proofErr w:type="spellStart"/>
      <w:r>
        <w:rPr>
          <w:sz w:val="16"/>
          <w:szCs w:val="16"/>
        </w:rPr>
        <w:t>Daresbury</w:t>
      </w:r>
      <w:proofErr w:type="spellEnd"/>
      <w:r>
        <w:rPr>
          <w:sz w:val="16"/>
          <w:szCs w:val="16"/>
        </w:rPr>
        <w:t xml:space="preserve"> Laboratory, Warrington, United Kingdom</w:t>
      </w:r>
    </w:p>
    <w:p w14:paraId="466F6D32" w14:textId="77777777" w:rsidR="00317BE3" w:rsidRDefault="00A53922" w:rsidP="00EA2A5C">
      <w:pPr>
        <w:pStyle w:val="normal0"/>
      </w:pPr>
      <w:r>
        <w:rPr>
          <w:sz w:val="16"/>
          <w:szCs w:val="16"/>
        </w:rPr>
        <w:t>14 Genomics Coordination Center, Department of Genetics, University Medical Center Groningen and Groningen Bioinformatics Center, University of Groningen, Groningen, Netherlands</w:t>
      </w:r>
    </w:p>
    <w:p w14:paraId="3BBCF3DA" w14:textId="77777777" w:rsidR="00317BE3" w:rsidRDefault="00A53922" w:rsidP="00EA2A5C">
      <w:pPr>
        <w:pStyle w:val="normal0"/>
      </w:pPr>
      <w:r>
        <w:rPr>
          <w:sz w:val="16"/>
          <w:szCs w:val="16"/>
        </w:rPr>
        <w:t>15 SDBV, HITS, Heidelberg, Germany</w:t>
      </w:r>
    </w:p>
    <w:p w14:paraId="5AE3C01F" w14:textId="77777777" w:rsidR="00317BE3" w:rsidRDefault="00A53922" w:rsidP="00EA2A5C">
      <w:pPr>
        <w:pStyle w:val="normal0"/>
      </w:pPr>
      <w:r>
        <w:rPr>
          <w:sz w:val="16"/>
          <w:szCs w:val="16"/>
        </w:rPr>
        <w:t>16 Genomics Division, Lawrence Berkeley National Laboratory, Berkeley, CA, USA</w:t>
      </w:r>
    </w:p>
    <w:p w14:paraId="6E4E3B80" w14:textId="77777777" w:rsidR="00317BE3" w:rsidRDefault="00A53922" w:rsidP="00EA2A5C">
      <w:pPr>
        <w:pStyle w:val="normal0"/>
      </w:pPr>
      <w:r>
        <w:rPr>
          <w:sz w:val="16"/>
          <w:szCs w:val="16"/>
        </w:rPr>
        <w:t xml:space="preserve">17 Institute of Pathology, </w:t>
      </w:r>
      <w:proofErr w:type="spellStart"/>
      <w:r>
        <w:rPr>
          <w:sz w:val="16"/>
          <w:szCs w:val="16"/>
        </w:rPr>
        <w:t>Charite</w:t>
      </w:r>
      <w:proofErr w:type="spellEnd"/>
      <w:r>
        <w:rPr>
          <w:sz w:val="16"/>
          <w:szCs w:val="16"/>
        </w:rPr>
        <w:t xml:space="preserve"> – University Medicine Berlin, Berlin, Germany</w:t>
      </w:r>
    </w:p>
    <w:p w14:paraId="4A4DA053" w14:textId="77777777" w:rsidR="00317BE3" w:rsidRDefault="00A53922" w:rsidP="00EA2A5C">
      <w:pPr>
        <w:pStyle w:val="normal0"/>
      </w:pPr>
      <w:r>
        <w:rPr>
          <w:sz w:val="16"/>
          <w:szCs w:val="16"/>
        </w:rPr>
        <w:t xml:space="preserve">18 TMF – </w:t>
      </w:r>
      <w:proofErr w:type="spellStart"/>
      <w:r>
        <w:rPr>
          <w:sz w:val="16"/>
          <w:szCs w:val="16"/>
        </w:rPr>
        <w:t>Technologie</w:t>
      </w:r>
      <w:proofErr w:type="spellEnd"/>
      <w:r>
        <w:rPr>
          <w:sz w:val="16"/>
          <w:szCs w:val="16"/>
        </w:rPr>
        <w:t xml:space="preserve">- und </w:t>
      </w:r>
      <w:proofErr w:type="spellStart"/>
      <w:r>
        <w:rPr>
          <w:sz w:val="16"/>
          <w:szCs w:val="16"/>
        </w:rPr>
        <w:t>Methodenplattform</w:t>
      </w:r>
      <w:proofErr w:type="spellEnd"/>
      <w:r>
        <w:rPr>
          <w:sz w:val="16"/>
          <w:szCs w:val="16"/>
        </w:rPr>
        <w:t xml:space="preserve"> e. V. Berlin, Germany</w:t>
      </w:r>
    </w:p>
    <w:p w14:paraId="1F0C6FB0" w14:textId="77777777" w:rsidR="00317BE3" w:rsidRDefault="00A53922" w:rsidP="00EA2A5C">
      <w:pPr>
        <w:pStyle w:val="normal0"/>
      </w:pPr>
      <w:r>
        <w:rPr>
          <w:sz w:val="16"/>
          <w:szCs w:val="16"/>
        </w:rPr>
        <w:t>19 MIB, University of Manchester, Manchester, UK</w:t>
      </w:r>
    </w:p>
    <w:p w14:paraId="3B257D1E" w14:textId="77777777" w:rsidR="00317BE3" w:rsidRDefault="00A53922" w:rsidP="00EA2A5C">
      <w:pPr>
        <w:pStyle w:val="normal0"/>
      </w:pPr>
      <w:r>
        <w:rPr>
          <w:sz w:val="16"/>
          <w:szCs w:val="16"/>
        </w:rPr>
        <w:t xml:space="preserve">20 </w:t>
      </w:r>
      <w:proofErr w:type="gramStart"/>
      <w:r>
        <w:rPr>
          <w:sz w:val="16"/>
          <w:szCs w:val="16"/>
        </w:rPr>
        <w:t>Department</w:t>
      </w:r>
      <w:proofErr w:type="gramEnd"/>
      <w:r>
        <w:rPr>
          <w:sz w:val="16"/>
          <w:szCs w:val="16"/>
        </w:rPr>
        <w:t xml:space="preserve"> of Biochemistry, Stellenbosch University, Stellenbosch, South Africa</w:t>
      </w:r>
    </w:p>
    <w:p w14:paraId="283DBAFF" w14:textId="77777777" w:rsidR="00317BE3" w:rsidRDefault="00A53922" w:rsidP="00EA2A5C">
      <w:pPr>
        <w:pStyle w:val="normal0"/>
      </w:pPr>
      <w:r>
        <w:rPr>
          <w:sz w:val="16"/>
          <w:szCs w:val="16"/>
        </w:rPr>
        <w:t xml:space="preserve">21 Manchester Centre for Synthetic Biology of Fine and </w:t>
      </w:r>
      <w:proofErr w:type="spellStart"/>
      <w:r>
        <w:rPr>
          <w:sz w:val="16"/>
          <w:szCs w:val="16"/>
        </w:rPr>
        <w:t>Speciality</w:t>
      </w:r>
      <w:proofErr w:type="spellEnd"/>
      <w:r>
        <w:rPr>
          <w:sz w:val="16"/>
          <w:szCs w:val="16"/>
        </w:rPr>
        <w:t xml:space="preserve"> Chemicals (SYNBIOCHEM), University of Manchester, Manchester, UK</w:t>
      </w:r>
    </w:p>
    <w:p w14:paraId="633B8CF8" w14:textId="77777777" w:rsidR="00317BE3" w:rsidRDefault="00A53922" w:rsidP="00EA2A5C">
      <w:pPr>
        <w:pStyle w:val="normal0"/>
      </w:pPr>
      <w:r>
        <w:rPr>
          <w:sz w:val="16"/>
          <w:szCs w:val="16"/>
        </w:rPr>
        <w:t>22 Leiden Institute of Advanced Computer Science, Leiden University, Leiden, Netherlands</w:t>
      </w:r>
    </w:p>
    <w:p w14:paraId="7E9BF91B" w14:textId="77777777" w:rsidR="00317BE3" w:rsidRDefault="00A53922" w:rsidP="00EA2A5C">
      <w:pPr>
        <w:pStyle w:val="Heading2"/>
      </w:pPr>
      <w:bookmarkStart w:id="0" w:name="_z742txallkcv" w:colFirst="0" w:colLast="0"/>
      <w:bookmarkEnd w:id="0"/>
      <w:r>
        <w:t>Abstract</w:t>
      </w:r>
    </w:p>
    <w:p w14:paraId="40B07A0B" w14:textId="77777777" w:rsidR="00317BE3" w:rsidRDefault="00A53922" w:rsidP="00EA2A5C">
      <w:pPr>
        <w:pStyle w:val="normal0"/>
      </w:pPr>
      <w:bookmarkStart w:id="1" w:name="_31159uj4oddo" w:colFirst="0" w:colLast="0"/>
      <w:bookmarkEnd w:id="1"/>
      <w:r>
        <w:t xml:space="preserve">In an era of big data, there is increasing optimism that data mining will yield valuable insights. However, in the life sciences, relevant data is not only "big"; it is also highly decentralized across thousands of online databases. Wringing value from such databases depends on the discipline of data science and on the humble bricks and mortar that make integration possible. Identifiers are a core component of this integration infrastructure; drawing on our experience and on work by other groups, we outline ten lessons we have learned about the identifier qualities and best practices that facilitate large-scale data integration. Specifically, we propose actions that identifier practitioners (providers of online repositories, registries, and </w:t>
      </w:r>
      <w:proofErr w:type="spellStart"/>
      <w:r>
        <w:t>knowledgebases</w:t>
      </w:r>
      <w:proofErr w:type="spellEnd"/>
      <w:r>
        <w:t>) should take in the design, provision and reuse of identifiers; we also outline important considerations for those referencing identifiers in various contexts. While the importance and relevance of each lesson will vary by context, there is a need for increased awareness about how to avoid and manage common identifier problems, especially those related to durability and web-accessibility/resolvability.</w:t>
      </w:r>
    </w:p>
    <w:p w14:paraId="4D46CDF0" w14:textId="77777777" w:rsidR="00317BE3" w:rsidRDefault="00317BE3" w:rsidP="00EA2A5C">
      <w:pPr>
        <w:pStyle w:val="normal0"/>
      </w:pPr>
    </w:p>
    <w:p w14:paraId="30575724" w14:textId="77777777" w:rsidR="00317BE3" w:rsidRDefault="00A53922" w:rsidP="00EA2A5C">
      <w:pPr>
        <w:pStyle w:val="Heading2"/>
      </w:pPr>
      <w:bookmarkStart w:id="2" w:name="_gjdgxs" w:colFirst="0" w:colLast="0"/>
      <w:bookmarkEnd w:id="2"/>
      <w:r>
        <w:t>Introduction</w:t>
      </w:r>
    </w:p>
    <w:p w14:paraId="21B6C996" w14:textId="77777777" w:rsidR="00317BE3" w:rsidRDefault="00A53922" w:rsidP="00EA2A5C">
      <w:pPr>
        <w:pStyle w:val="normal0"/>
      </w:pPr>
      <w:r>
        <w:t>Life science data is evolving to be ever larger, more distributed, and more natively web-based. However, our collective handling of identifiers has lagged behind these advances. Diverse identifier problems (for instance broken links and ‘</w:t>
      </w:r>
      <w:r>
        <w:rPr>
          <w:rFonts w:ascii="Consolas" w:eastAsia="Consolas" w:hAnsi="Consolas" w:cs="Consolas"/>
        </w:rPr>
        <w:t>content drift</w:t>
      </w:r>
      <w:r>
        <w:t>’ [</w:t>
      </w:r>
      <w:hyperlink r:id="rId8">
        <w:r>
          <w:rPr>
            <w:color w:val="1155CC"/>
            <w:u w:val="single"/>
          </w:rPr>
          <w:t>1</w:t>
        </w:r>
      </w:hyperlink>
      <w:r>
        <w:t xml:space="preserve">]) make it difficult to integrate data, and to subsequently derive new knowledge from it. Optimizing web-based identifiers is harder than it appears; there are a number of approaches that may be used for this purpose, but no single one is perfect: Identifiers are reused in different ways for different reasons, by different consumers. Moreover, digital </w:t>
      </w:r>
      <w:r>
        <w:rPr>
          <w:rFonts w:ascii="Consolas" w:eastAsia="Consolas" w:hAnsi="Consolas" w:cs="Consolas"/>
        </w:rPr>
        <w:t>entities</w:t>
      </w:r>
      <w:r>
        <w:t xml:space="preserve"> (e.g., files), physical </w:t>
      </w:r>
      <w:r>
        <w:rPr>
          <w:rFonts w:ascii="Consolas" w:eastAsia="Consolas" w:hAnsi="Consolas" w:cs="Consolas"/>
        </w:rPr>
        <w:t>entities</w:t>
      </w:r>
      <w:r>
        <w:t xml:space="preserve"> (e.g., </w:t>
      </w:r>
      <w:proofErr w:type="spellStart"/>
      <w:r>
        <w:t>biosamples</w:t>
      </w:r>
      <w:proofErr w:type="spellEnd"/>
      <w:r>
        <w:t xml:space="preserve">), and descriptive </w:t>
      </w:r>
      <w:r>
        <w:rPr>
          <w:rFonts w:ascii="Consolas" w:eastAsia="Consolas" w:hAnsi="Consolas" w:cs="Consolas"/>
        </w:rPr>
        <w:t>entities</w:t>
      </w:r>
      <w:r>
        <w:t xml:space="preserve"> (e.g., ‘mitosis’) have different requirements for identifiers [</w:t>
      </w:r>
      <w:hyperlink r:id="rId9">
        <w:r>
          <w:rPr>
            <w:color w:val="0000FF"/>
            <w:u w:val="single"/>
          </w:rPr>
          <w:t>2</w:t>
        </w:r>
      </w:hyperlink>
      <w:r>
        <w:t xml:space="preserve">]. </w:t>
      </w:r>
    </w:p>
    <w:p w14:paraId="7C603A3C" w14:textId="77777777" w:rsidR="00317BE3" w:rsidRDefault="00317BE3" w:rsidP="00EA2A5C">
      <w:pPr>
        <w:pStyle w:val="normal0"/>
      </w:pPr>
    </w:p>
    <w:p w14:paraId="12A6F939" w14:textId="77777777" w:rsidR="00317BE3" w:rsidRDefault="00A53922" w:rsidP="00EA2A5C">
      <w:pPr>
        <w:pStyle w:val="normal0"/>
      </w:pPr>
      <w:r>
        <w:t>Throughout the life sciences, our handling of identifiers needs improvement</w:t>
      </w:r>
      <w:r>
        <w:rPr>
          <w:color w:val="6AA84F"/>
        </w:rPr>
        <w:t>.</w:t>
      </w:r>
      <w:r>
        <w:t xml:space="preserve"> Towards this end, several groups (</w:t>
      </w:r>
      <w:r>
        <w:rPr>
          <w:b/>
        </w:rPr>
        <w:t>Supplemental</w:t>
      </w:r>
      <w:r>
        <w:t xml:space="preserve"> </w:t>
      </w:r>
      <w:r>
        <w:rPr>
          <w:b/>
        </w:rPr>
        <w:t>Text S1</w:t>
      </w:r>
      <w:r>
        <w:t>) have been converging on identifier standards that are broadly applicable [</w:t>
      </w:r>
      <w:hyperlink r:id="rId10">
        <w:r>
          <w:rPr>
            <w:color w:val="1155CC"/>
            <w:u w:val="single"/>
          </w:rPr>
          <w:t>3</w:t>
        </w:r>
      </w:hyperlink>
      <w:r>
        <w:t xml:space="preserve">, </w:t>
      </w:r>
      <w:hyperlink r:id="rId11">
        <w:r>
          <w:rPr>
            <w:color w:val="1155CC"/>
            <w:u w:val="single"/>
          </w:rPr>
          <w:t>4</w:t>
        </w:r>
      </w:hyperlink>
      <w:r>
        <w:t xml:space="preserve">, </w:t>
      </w:r>
      <w:hyperlink r:id="rId12">
        <w:r>
          <w:rPr>
            <w:color w:val="1155CC"/>
            <w:u w:val="single"/>
          </w:rPr>
          <w:t>5</w:t>
        </w:r>
      </w:hyperlink>
      <w:r>
        <w:t xml:space="preserve">, </w:t>
      </w:r>
      <w:hyperlink r:id="rId13">
        <w:r>
          <w:rPr>
            <w:color w:val="1155CC"/>
            <w:u w:val="single"/>
          </w:rPr>
          <w:t>6</w:t>
        </w:r>
      </w:hyperlink>
      <w:r>
        <w:t xml:space="preserve">]. Building on these efforts and drawing on our experience, we outline the identifier qualities and best practices </w:t>
      </w:r>
      <w:r>
        <w:lastRenderedPageBreak/>
        <w:t xml:space="preserve">we consider particularly important in the context of large-scale data integration. In </w:t>
      </w:r>
      <w:r>
        <w:rPr>
          <w:b/>
        </w:rPr>
        <w:t>Lessons 1-9</w:t>
      </w:r>
      <w:r>
        <w:t xml:space="preserve"> (</w:t>
      </w:r>
      <w:r>
        <w:rPr>
          <w:b/>
        </w:rPr>
        <w:t>Table 1</w:t>
      </w:r>
      <w:r>
        <w:t xml:space="preserve">) we propose actions for data providers when designing new identifiers, maintaining existing identifiers, as well as when reusing and referencing identifiers from other datasets. In </w:t>
      </w:r>
      <w:r>
        <w:rPr>
          <w:b/>
        </w:rPr>
        <w:t>Lesson 10</w:t>
      </w:r>
      <w:r>
        <w:t>, we conclude with guidance for data integrators and redistributors on how best to reference multiple identifiers from diverse sources. Data providers are urged to take a long-term view of the scope and lifecycle of data and the identifiers that they provide, and to consider using existing identifier platforms and services [</w:t>
      </w:r>
      <w:hyperlink r:id="rId14">
        <w:r>
          <w:rPr>
            <w:color w:val="1155CC"/>
            <w:u w:val="single"/>
          </w:rPr>
          <w:t>7</w:t>
        </w:r>
      </w:hyperlink>
      <w:r>
        <w:t>] where appropriate.</w:t>
      </w:r>
    </w:p>
    <w:p w14:paraId="2AB3C910" w14:textId="77777777" w:rsidR="00317BE3" w:rsidRDefault="00317BE3" w:rsidP="00EA2A5C">
      <w:pPr>
        <w:pStyle w:val="normal0"/>
      </w:pPr>
    </w:p>
    <w:p w14:paraId="4E353DFB" w14:textId="77777777" w:rsidR="00317BE3" w:rsidRDefault="00A53922" w:rsidP="00EA2A5C">
      <w:pPr>
        <w:pStyle w:val="normal0"/>
      </w:pPr>
      <w:r>
        <w:t>Throughout this document, the word “must” is reserved for practices that ensure against identifier collision, ambiguity, or inaccessibility; instances of “must” are also often specific to particular design choices. We use the word “should” to convey that the full implications must be understood and carefully weighed before choosing a different course (</w:t>
      </w:r>
      <w:proofErr w:type="spellStart"/>
      <w:r>
        <w:t>eg</w:t>
      </w:r>
      <w:proofErr w:type="spellEnd"/>
      <w:r>
        <w:t xml:space="preserve">. consistent with IETF RFC2119 </w:t>
      </w:r>
      <w:hyperlink r:id="rId15">
        <w:r>
          <w:rPr>
            <w:color w:val="1155CC"/>
            <w:u w:val="single"/>
          </w:rPr>
          <w:t>[8]</w:t>
        </w:r>
      </w:hyperlink>
      <w:r>
        <w:t xml:space="preserve">). Terms that appear in </w:t>
      </w:r>
      <w:r>
        <w:rPr>
          <w:rFonts w:ascii="Consolas" w:eastAsia="Consolas" w:hAnsi="Consolas" w:cs="Consolas"/>
        </w:rPr>
        <w:t>fixed-width font</w:t>
      </w:r>
      <w:r>
        <w:t xml:space="preserve"> are defined in the supplemental glossary (</w:t>
      </w:r>
      <w:r>
        <w:rPr>
          <w:b/>
        </w:rPr>
        <w:t>Table S2</w:t>
      </w:r>
      <w:r>
        <w:t xml:space="preserve">). </w:t>
      </w:r>
    </w:p>
    <w:p w14:paraId="6B97B7D9" w14:textId="77777777" w:rsidR="00317BE3" w:rsidRDefault="00317BE3" w:rsidP="00EA2A5C">
      <w:pPr>
        <w:pStyle w:val="normal0"/>
      </w:pPr>
    </w:p>
    <w:p w14:paraId="3674EEBA" w14:textId="77777777" w:rsidR="00317BE3" w:rsidRDefault="00A53922" w:rsidP="00EA2A5C">
      <w:pPr>
        <w:pStyle w:val="normal0"/>
      </w:pPr>
      <w:r>
        <w:t xml:space="preserve">Many of these recommendations are applicable during the planning and identifier conceptualization phase, i.e. before any identifiers are created. The retrofitting (especially lessons 1, 3, 4 and 7) of existing identifiers can sometimes be too difficult or may even make matters worse: for instance changing existing identifiers introduces identifier mapping issues that offset potential benefits. Each of the lessons is relevant to the basic classes of actions in the identifier ecosystem (design, provision, reuse </w:t>
      </w:r>
      <w:r>
        <w:rPr>
          <w:b/>
        </w:rPr>
        <w:t>Table 1</w:t>
      </w:r>
      <w:r>
        <w:t>). These actions in turn are relevant to anyone on the spectrum of seven basic roles ranging from those that publish their own data to those that provide applications on top of others’ data (</w:t>
      </w:r>
      <w:r>
        <w:rPr>
          <w:b/>
        </w:rPr>
        <w:t>Figure 1</w:t>
      </w:r>
      <w:r>
        <w:t xml:space="preserve">). No provider is perfect and no two are alike, hence the objective is to learn from each other’s diverse experiences. All of the negative examples herein are </w:t>
      </w:r>
      <w:proofErr w:type="spellStart"/>
      <w:r>
        <w:t>anonymized</w:t>
      </w:r>
      <w:proofErr w:type="spellEnd"/>
      <w:r>
        <w:t xml:space="preserve"> variations of real-world identifiers that we have had to work with. In Table 1, we summarize current and future efforts that could facilitate adoption of the recommendations.</w:t>
      </w:r>
    </w:p>
    <w:p w14:paraId="3EF728D1" w14:textId="77777777" w:rsidR="00317BE3" w:rsidRDefault="00A53922" w:rsidP="00EA2A5C">
      <w:pPr>
        <w:pStyle w:val="normal0"/>
      </w:pPr>
      <w:r>
        <w:rPr>
          <w:color w:val="6AA84F"/>
        </w:rPr>
        <w:t xml:space="preserve"> </w:t>
      </w:r>
    </w:p>
    <w:tbl>
      <w:tblPr>
        <w:tblStyle w:val="a"/>
        <w:tblW w:w="109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855"/>
        <w:gridCol w:w="1035"/>
        <w:gridCol w:w="1215"/>
        <w:gridCol w:w="1095"/>
        <w:gridCol w:w="1755"/>
        <w:gridCol w:w="1980"/>
      </w:tblGrid>
      <w:tr w:rsidR="00317BE3" w14:paraId="2E3AF572" w14:textId="77777777">
        <w:tc>
          <w:tcPr>
            <w:tcW w:w="3855" w:type="dxa"/>
            <w:tcBorders>
              <w:top w:val="single" w:sz="8" w:space="0" w:color="BFBFBF"/>
              <w:left w:val="single" w:sz="8" w:space="0" w:color="BFBFBF"/>
              <w:bottom w:val="single" w:sz="8" w:space="0" w:color="BFBFBF"/>
              <w:right w:val="single" w:sz="8" w:space="0" w:color="BFBFBF"/>
            </w:tcBorders>
            <w:tcMar>
              <w:top w:w="43" w:type="dxa"/>
              <w:left w:w="43" w:type="dxa"/>
              <w:bottom w:w="43" w:type="dxa"/>
              <w:right w:w="43" w:type="dxa"/>
            </w:tcMar>
          </w:tcPr>
          <w:p w14:paraId="2AE5AC33" w14:textId="77777777" w:rsidR="00317BE3" w:rsidRDefault="00A53922" w:rsidP="00EA2A5C">
            <w:pPr>
              <w:pStyle w:val="normal0"/>
              <w:widowControl w:val="0"/>
              <w:jc w:val="left"/>
            </w:pPr>
            <w:r>
              <w:rPr>
                <w:b/>
                <w:sz w:val="20"/>
                <w:szCs w:val="20"/>
              </w:rPr>
              <w:t xml:space="preserve"> </w:t>
            </w:r>
          </w:p>
        </w:tc>
        <w:tc>
          <w:tcPr>
            <w:tcW w:w="3345" w:type="dxa"/>
            <w:gridSpan w:val="3"/>
            <w:tcBorders>
              <w:top w:val="single" w:sz="8" w:space="0" w:color="BFBFBF"/>
              <w:bottom w:val="single" w:sz="8" w:space="0" w:color="BFBFBF"/>
              <w:right w:val="single" w:sz="8" w:space="0" w:color="BFBFBF"/>
            </w:tcBorders>
            <w:tcMar>
              <w:top w:w="43" w:type="dxa"/>
              <w:left w:w="43" w:type="dxa"/>
              <w:bottom w:w="43" w:type="dxa"/>
              <w:right w:w="43" w:type="dxa"/>
            </w:tcMar>
          </w:tcPr>
          <w:p w14:paraId="480BE4F0" w14:textId="77777777" w:rsidR="00317BE3" w:rsidRDefault="00A53922" w:rsidP="00EA2A5C">
            <w:pPr>
              <w:pStyle w:val="normal0"/>
              <w:ind w:left="120" w:right="120"/>
              <w:jc w:val="center"/>
            </w:pPr>
            <w:r>
              <w:rPr>
                <w:b/>
                <w:sz w:val="20"/>
                <w:szCs w:val="20"/>
              </w:rPr>
              <w:t>Identifier actions</w:t>
            </w:r>
          </w:p>
        </w:tc>
        <w:tc>
          <w:tcPr>
            <w:tcW w:w="1755" w:type="dxa"/>
            <w:tcBorders>
              <w:top w:val="single" w:sz="8" w:space="0" w:color="BFBFBF"/>
              <w:bottom w:val="single" w:sz="8" w:space="0" w:color="BFBFBF"/>
              <w:right w:val="single" w:sz="8" w:space="0" w:color="BFBFBF"/>
            </w:tcBorders>
            <w:tcMar>
              <w:top w:w="43" w:type="dxa"/>
              <w:left w:w="43" w:type="dxa"/>
              <w:bottom w:w="43" w:type="dxa"/>
              <w:right w:w="43" w:type="dxa"/>
            </w:tcMar>
          </w:tcPr>
          <w:p w14:paraId="0B5A9ED0" w14:textId="77777777" w:rsidR="00317BE3" w:rsidRDefault="00A53922" w:rsidP="00EA2A5C">
            <w:pPr>
              <w:pStyle w:val="normal0"/>
              <w:jc w:val="left"/>
            </w:pPr>
            <w:r>
              <w:rPr>
                <w:b/>
                <w:sz w:val="20"/>
                <w:szCs w:val="20"/>
              </w:rPr>
              <w:t xml:space="preserve"> </w:t>
            </w:r>
          </w:p>
        </w:tc>
        <w:tc>
          <w:tcPr>
            <w:tcW w:w="1980" w:type="dxa"/>
            <w:tcBorders>
              <w:top w:val="single" w:sz="8" w:space="0" w:color="BFBFBF"/>
              <w:bottom w:val="single" w:sz="8" w:space="0" w:color="BFBFBF"/>
              <w:right w:val="single" w:sz="8" w:space="0" w:color="BFBFBF"/>
            </w:tcBorders>
            <w:tcMar>
              <w:top w:w="43" w:type="dxa"/>
              <w:left w:w="43" w:type="dxa"/>
              <w:bottom w:w="43" w:type="dxa"/>
              <w:right w:w="43" w:type="dxa"/>
            </w:tcMar>
          </w:tcPr>
          <w:p w14:paraId="2E8B39F3" w14:textId="77777777" w:rsidR="00317BE3" w:rsidRDefault="00A53922" w:rsidP="00EA2A5C">
            <w:pPr>
              <w:pStyle w:val="normal0"/>
              <w:jc w:val="left"/>
            </w:pPr>
            <w:r>
              <w:rPr>
                <w:b/>
                <w:sz w:val="20"/>
                <w:szCs w:val="20"/>
              </w:rPr>
              <w:t xml:space="preserve"> </w:t>
            </w:r>
          </w:p>
        </w:tc>
      </w:tr>
      <w:tr w:rsidR="00317BE3" w14:paraId="56F8C432" w14:textId="77777777" w:rsidTr="00A53922">
        <w:trPr>
          <w:cantSplit/>
          <w:trHeight w:val="1248"/>
        </w:trPr>
        <w:tc>
          <w:tcPr>
            <w:tcW w:w="3855" w:type="dxa"/>
            <w:tcBorders>
              <w:left w:val="single" w:sz="8" w:space="0" w:color="BFBFBF"/>
              <w:bottom w:val="single" w:sz="8" w:space="0" w:color="BFBFBF"/>
              <w:right w:val="single" w:sz="8" w:space="0" w:color="BFBFBF"/>
            </w:tcBorders>
            <w:tcMar>
              <w:top w:w="43" w:type="dxa"/>
              <w:left w:w="43" w:type="dxa"/>
              <w:bottom w:w="43" w:type="dxa"/>
              <w:right w:w="43" w:type="dxa"/>
            </w:tcMar>
          </w:tcPr>
          <w:p w14:paraId="26E6EBE9" w14:textId="77777777" w:rsidR="00317BE3" w:rsidRDefault="00A53922" w:rsidP="00EA2A5C">
            <w:pPr>
              <w:pStyle w:val="normal0"/>
              <w:jc w:val="left"/>
            </w:pPr>
            <w:r>
              <w:rPr>
                <w:b/>
                <w:sz w:val="20"/>
                <w:szCs w:val="20"/>
              </w:rPr>
              <w:t>Lesson</w:t>
            </w:r>
          </w:p>
        </w:tc>
        <w:tc>
          <w:tcPr>
            <w:tcW w:w="1035" w:type="dxa"/>
            <w:tcBorders>
              <w:bottom w:val="single" w:sz="8" w:space="0" w:color="BFBFBF"/>
              <w:right w:val="single" w:sz="8" w:space="0" w:color="BFBFBF"/>
            </w:tcBorders>
            <w:tcMar>
              <w:top w:w="43" w:type="dxa"/>
              <w:left w:w="43" w:type="dxa"/>
              <w:bottom w:w="43" w:type="dxa"/>
              <w:right w:w="43" w:type="dxa"/>
            </w:tcMar>
            <w:textDirection w:val="btLr"/>
            <w:vAlign w:val="center"/>
          </w:tcPr>
          <w:p w14:paraId="03F506CA" w14:textId="77777777" w:rsidR="00317BE3" w:rsidRDefault="00A53922" w:rsidP="00A53922">
            <w:pPr>
              <w:pStyle w:val="normal0"/>
              <w:spacing w:line="220" w:lineRule="exact"/>
              <w:ind w:left="115" w:right="115"/>
              <w:jc w:val="center"/>
            </w:pPr>
            <w:r>
              <w:rPr>
                <w:rFonts w:ascii="Arial Narrow" w:eastAsia="Arial Narrow" w:hAnsi="Arial Narrow" w:cs="Arial Narrow"/>
                <w:b/>
                <w:sz w:val="20"/>
                <w:szCs w:val="20"/>
              </w:rPr>
              <w:t>Design &amp; creation</w:t>
            </w:r>
          </w:p>
        </w:tc>
        <w:tc>
          <w:tcPr>
            <w:tcW w:w="1215" w:type="dxa"/>
            <w:tcBorders>
              <w:bottom w:val="single" w:sz="8" w:space="0" w:color="BFBFBF"/>
              <w:right w:val="single" w:sz="8" w:space="0" w:color="BFBFBF"/>
            </w:tcBorders>
            <w:tcMar>
              <w:top w:w="43" w:type="dxa"/>
              <w:left w:w="43" w:type="dxa"/>
              <w:bottom w:w="43" w:type="dxa"/>
              <w:right w:w="43" w:type="dxa"/>
            </w:tcMar>
            <w:textDirection w:val="btLr"/>
            <w:vAlign w:val="center"/>
          </w:tcPr>
          <w:p w14:paraId="6A122F40" w14:textId="53F0832C" w:rsidR="00317BE3" w:rsidRDefault="00A53922" w:rsidP="00A53922">
            <w:pPr>
              <w:pStyle w:val="normal0"/>
              <w:spacing w:line="220" w:lineRule="exact"/>
              <w:ind w:left="115" w:right="115"/>
              <w:jc w:val="center"/>
            </w:pPr>
            <w:r>
              <w:rPr>
                <w:rFonts w:ascii="Arial Narrow" w:eastAsia="Arial Narrow" w:hAnsi="Arial Narrow" w:cs="Arial Narrow"/>
                <w:b/>
                <w:sz w:val="20"/>
                <w:szCs w:val="20"/>
              </w:rPr>
              <w:t>Provision &amp; maintenance</w:t>
            </w:r>
          </w:p>
        </w:tc>
        <w:tc>
          <w:tcPr>
            <w:tcW w:w="1095" w:type="dxa"/>
            <w:tcBorders>
              <w:bottom w:val="single" w:sz="8" w:space="0" w:color="BFBFBF"/>
              <w:right w:val="single" w:sz="8" w:space="0" w:color="BFBFBF"/>
            </w:tcBorders>
            <w:tcMar>
              <w:top w:w="43" w:type="dxa"/>
              <w:left w:w="43" w:type="dxa"/>
              <w:bottom w:w="43" w:type="dxa"/>
              <w:right w:w="43" w:type="dxa"/>
            </w:tcMar>
            <w:textDirection w:val="btLr"/>
            <w:vAlign w:val="center"/>
          </w:tcPr>
          <w:p w14:paraId="0DB7CF5E" w14:textId="0BC3BEFB" w:rsidR="00317BE3" w:rsidRDefault="00A53922" w:rsidP="00A53922">
            <w:pPr>
              <w:pStyle w:val="normal0"/>
              <w:spacing w:line="220" w:lineRule="exact"/>
              <w:ind w:left="115" w:right="115"/>
              <w:jc w:val="center"/>
            </w:pPr>
            <w:r>
              <w:rPr>
                <w:rFonts w:ascii="Arial Narrow" w:eastAsia="Arial Narrow" w:hAnsi="Arial Narrow" w:cs="Arial Narrow"/>
                <w:b/>
                <w:sz w:val="20"/>
                <w:szCs w:val="20"/>
              </w:rPr>
              <w:t>Reuse &amp; referencing</w:t>
            </w:r>
          </w:p>
        </w:tc>
        <w:tc>
          <w:tcPr>
            <w:tcW w:w="1755" w:type="dxa"/>
            <w:tcBorders>
              <w:bottom w:val="single" w:sz="8" w:space="0" w:color="BFBFBF"/>
              <w:right w:val="single" w:sz="8" w:space="0" w:color="BFBFBF"/>
            </w:tcBorders>
            <w:tcMar>
              <w:top w:w="43" w:type="dxa"/>
              <w:left w:w="43" w:type="dxa"/>
              <w:bottom w:w="43" w:type="dxa"/>
              <w:right w:w="43" w:type="dxa"/>
            </w:tcMar>
          </w:tcPr>
          <w:p w14:paraId="5F9AF49B" w14:textId="77777777" w:rsidR="00317BE3" w:rsidRDefault="00A53922" w:rsidP="00EA2A5C">
            <w:pPr>
              <w:pStyle w:val="normal0"/>
              <w:jc w:val="left"/>
            </w:pPr>
            <w:r>
              <w:rPr>
                <w:b/>
                <w:sz w:val="20"/>
                <w:szCs w:val="20"/>
              </w:rPr>
              <w:t>Currently available platforms, standards, and services</w:t>
            </w:r>
          </w:p>
        </w:tc>
        <w:tc>
          <w:tcPr>
            <w:tcW w:w="1980" w:type="dxa"/>
            <w:tcBorders>
              <w:bottom w:val="single" w:sz="8" w:space="0" w:color="BFBFBF"/>
              <w:right w:val="single" w:sz="8" w:space="0" w:color="BFBFBF"/>
            </w:tcBorders>
            <w:tcMar>
              <w:top w:w="43" w:type="dxa"/>
              <w:left w:w="43" w:type="dxa"/>
              <w:bottom w:w="43" w:type="dxa"/>
              <w:right w:w="43" w:type="dxa"/>
            </w:tcMar>
          </w:tcPr>
          <w:p w14:paraId="56A6C5A2" w14:textId="77777777" w:rsidR="00317BE3" w:rsidRDefault="00A53922" w:rsidP="00EA2A5C">
            <w:pPr>
              <w:pStyle w:val="normal0"/>
              <w:jc w:val="left"/>
            </w:pPr>
            <w:r>
              <w:rPr>
                <w:b/>
                <w:sz w:val="20"/>
                <w:szCs w:val="20"/>
              </w:rPr>
              <w:t>Current and future efforts that would help lower barriers to adoption</w:t>
            </w:r>
          </w:p>
        </w:tc>
      </w:tr>
      <w:tr w:rsidR="00317BE3" w14:paraId="58CC37EE" w14:textId="77777777">
        <w:tc>
          <w:tcPr>
            <w:tcW w:w="3855" w:type="dxa"/>
            <w:tcBorders>
              <w:left w:val="single" w:sz="8" w:space="0" w:color="BFBFBF"/>
              <w:bottom w:val="single" w:sz="8" w:space="0" w:color="BFBFBF"/>
              <w:right w:val="single" w:sz="8" w:space="0" w:color="BFBFBF"/>
            </w:tcBorders>
            <w:tcMar>
              <w:top w:w="43" w:type="dxa"/>
              <w:left w:w="43" w:type="dxa"/>
              <w:bottom w:w="43" w:type="dxa"/>
              <w:right w:w="43" w:type="dxa"/>
            </w:tcMar>
            <w:vAlign w:val="center"/>
          </w:tcPr>
          <w:p w14:paraId="208BA508" w14:textId="77777777" w:rsidR="00317BE3" w:rsidRDefault="00A53922" w:rsidP="00EA2A5C">
            <w:pPr>
              <w:pStyle w:val="normal0"/>
              <w:jc w:val="left"/>
            </w:pPr>
            <w:r>
              <w:rPr>
                <w:sz w:val="20"/>
                <w:szCs w:val="20"/>
              </w:rPr>
              <w:t>1. Credit any derived content using its original identifier</w:t>
            </w:r>
          </w:p>
        </w:tc>
        <w:tc>
          <w:tcPr>
            <w:tcW w:w="103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2846E8D8"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215" w:type="dxa"/>
            <w:tcBorders>
              <w:bottom w:val="single" w:sz="8" w:space="0" w:color="BFBFBF"/>
              <w:right w:val="single" w:sz="8" w:space="0" w:color="BFBFBF"/>
            </w:tcBorders>
            <w:shd w:val="clear" w:color="auto" w:fill="548DD4"/>
            <w:tcMar>
              <w:top w:w="43" w:type="dxa"/>
              <w:left w:w="43" w:type="dxa"/>
              <w:bottom w:w="43" w:type="dxa"/>
              <w:right w:w="43" w:type="dxa"/>
            </w:tcMar>
            <w:vAlign w:val="center"/>
          </w:tcPr>
          <w:p w14:paraId="435F5E24"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548DD4"/>
              </w:rPr>
              <w:t>indirect</w:t>
            </w:r>
            <w:proofErr w:type="gramEnd"/>
          </w:p>
        </w:tc>
        <w:tc>
          <w:tcPr>
            <w:tcW w:w="109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3CAB6358"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755" w:type="dxa"/>
            <w:tcBorders>
              <w:bottom w:val="single" w:sz="8" w:space="0" w:color="BFBFBF"/>
              <w:right w:val="single" w:sz="8" w:space="0" w:color="BFBFBF"/>
            </w:tcBorders>
            <w:tcMar>
              <w:top w:w="43" w:type="dxa"/>
              <w:left w:w="43" w:type="dxa"/>
              <w:bottom w:w="43" w:type="dxa"/>
              <w:right w:w="43" w:type="dxa"/>
            </w:tcMar>
            <w:vAlign w:val="center"/>
          </w:tcPr>
          <w:p w14:paraId="160EFFC3" w14:textId="77777777" w:rsidR="00317BE3" w:rsidRDefault="00A53922" w:rsidP="00EA2A5C">
            <w:pPr>
              <w:pStyle w:val="normal0"/>
              <w:jc w:val="left"/>
            </w:pPr>
            <w:r>
              <w:rPr>
                <w:sz w:val="20"/>
                <w:szCs w:val="20"/>
              </w:rPr>
              <w:t xml:space="preserve"> </w:t>
            </w:r>
          </w:p>
        </w:tc>
        <w:tc>
          <w:tcPr>
            <w:tcW w:w="1980" w:type="dxa"/>
            <w:tcBorders>
              <w:bottom w:val="single" w:sz="8" w:space="0" w:color="BFBFBF"/>
              <w:right w:val="single" w:sz="8" w:space="0" w:color="BFBFBF"/>
            </w:tcBorders>
            <w:tcMar>
              <w:top w:w="43" w:type="dxa"/>
              <w:left w:w="43" w:type="dxa"/>
              <w:bottom w:w="43" w:type="dxa"/>
              <w:right w:w="43" w:type="dxa"/>
            </w:tcMar>
            <w:vAlign w:val="center"/>
          </w:tcPr>
          <w:p w14:paraId="587698AE" w14:textId="77777777" w:rsidR="00317BE3" w:rsidRDefault="00A53922" w:rsidP="00EA2A5C">
            <w:pPr>
              <w:pStyle w:val="normal0"/>
              <w:jc w:val="left"/>
            </w:pPr>
            <w:r>
              <w:rPr>
                <w:sz w:val="20"/>
                <w:szCs w:val="20"/>
              </w:rPr>
              <w:t>Increased awareness</w:t>
            </w:r>
          </w:p>
        </w:tc>
      </w:tr>
      <w:tr w:rsidR="00317BE3" w14:paraId="0F52DCFD" w14:textId="77777777">
        <w:tc>
          <w:tcPr>
            <w:tcW w:w="3855" w:type="dxa"/>
            <w:tcBorders>
              <w:left w:val="single" w:sz="8" w:space="0" w:color="BFBFBF"/>
              <w:bottom w:val="single" w:sz="8" w:space="0" w:color="BFBFBF"/>
              <w:right w:val="single" w:sz="8" w:space="0" w:color="BFBFBF"/>
            </w:tcBorders>
            <w:shd w:val="clear" w:color="auto" w:fill="F2F2F2"/>
            <w:tcMar>
              <w:top w:w="43" w:type="dxa"/>
              <w:left w:w="43" w:type="dxa"/>
              <w:bottom w:w="43" w:type="dxa"/>
              <w:right w:w="43" w:type="dxa"/>
            </w:tcMar>
            <w:vAlign w:val="center"/>
          </w:tcPr>
          <w:p w14:paraId="2D8A94CE" w14:textId="77777777" w:rsidR="00317BE3" w:rsidRDefault="00A53922" w:rsidP="00EA2A5C">
            <w:pPr>
              <w:pStyle w:val="normal0"/>
              <w:jc w:val="left"/>
            </w:pPr>
            <w:r>
              <w:rPr>
                <w:sz w:val="20"/>
                <w:szCs w:val="20"/>
                <w:shd w:val="clear" w:color="auto" w:fill="F2F2F2"/>
              </w:rPr>
              <w:t>2. Help local identifiers travel well: document prefix and patterns</w:t>
            </w:r>
          </w:p>
        </w:tc>
        <w:tc>
          <w:tcPr>
            <w:tcW w:w="103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387B7987"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21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73F20FF3"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09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285ACA4D"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755" w:type="dxa"/>
            <w:tcBorders>
              <w:bottom w:val="single" w:sz="8" w:space="0" w:color="BFBFBF"/>
              <w:right w:val="single" w:sz="8" w:space="0" w:color="BFBFBF"/>
            </w:tcBorders>
            <w:shd w:val="clear" w:color="auto" w:fill="F2F2F2"/>
            <w:tcMar>
              <w:top w:w="43" w:type="dxa"/>
              <w:left w:w="43" w:type="dxa"/>
              <w:bottom w:w="43" w:type="dxa"/>
              <w:right w:w="43" w:type="dxa"/>
            </w:tcMar>
            <w:vAlign w:val="center"/>
          </w:tcPr>
          <w:p w14:paraId="3E0FAA8A" w14:textId="77777777" w:rsidR="00317BE3" w:rsidRDefault="00A53922" w:rsidP="00EA2A5C">
            <w:pPr>
              <w:pStyle w:val="normal0"/>
              <w:jc w:val="left"/>
            </w:pPr>
            <w:r>
              <w:rPr>
                <w:sz w:val="20"/>
                <w:szCs w:val="20"/>
                <w:shd w:val="clear" w:color="auto" w:fill="F2F2F2"/>
              </w:rPr>
              <w:t xml:space="preserve">Registries, </w:t>
            </w:r>
            <w:proofErr w:type="gramStart"/>
            <w:r>
              <w:rPr>
                <w:sz w:val="20"/>
                <w:szCs w:val="20"/>
                <w:shd w:val="clear" w:color="auto" w:fill="F2F2F2"/>
              </w:rPr>
              <w:t>resolvers</w:t>
            </w:r>
            <w:r>
              <w:rPr>
                <w:sz w:val="20"/>
                <w:szCs w:val="20"/>
                <w:shd w:val="clear" w:color="auto" w:fill="F2F2F2"/>
                <w:vertAlign w:val="superscript"/>
              </w:rPr>
              <w:t>[</w:t>
            </w:r>
            <w:proofErr w:type="gramEnd"/>
            <w:r>
              <w:rPr>
                <w:sz w:val="20"/>
                <w:szCs w:val="20"/>
                <w:shd w:val="clear" w:color="auto" w:fill="F2F2F2"/>
                <w:vertAlign w:val="superscript"/>
              </w:rPr>
              <w:t>a]</w:t>
            </w:r>
          </w:p>
        </w:tc>
        <w:tc>
          <w:tcPr>
            <w:tcW w:w="1980" w:type="dxa"/>
            <w:tcBorders>
              <w:bottom w:val="single" w:sz="8" w:space="0" w:color="BFBFBF"/>
              <w:right w:val="single" w:sz="8" w:space="0" w:color="BFBFBF"/>
            </w:tcBorders>
            <w:shd w:val="clear" w:color="auto" w:fill="F2F2F2"/>
            <w:tcMar>
              <w:top w:w="43" w:type="dxa"/>
              <w:left w:w="43" w:type="dxa"/>
              <w:bottom w:w="43" w:type="dxa"/>
              <w:right w:w="43" w:type="dxa"/>
            </w:tcMar>
            <w:vAlign w:val="center"/>
          </w:tcPr>
          <w:p w14:paraId="7A0E3D4E" w14:textId="77777777" w:rsidR="00317BE3" w:rsidRDefault="00A53922" w:rsidP="00EA2A5C">
            <w:pPr>
              <w:pStyle w:val="normal0"/>
              <w:jc w:val="left"/>
            </w:pPr>
            <w:r>
              <w:rPr>
                <w:sz w:val="20"/>
                <w:szCs w:val="20"/>
                <w:shd w:val="clear" w:color="auto" w:fill="F2F2F2"/>
              </w:rPr>
              <w:t xml:space="preserve">Registry </w:t>
            </w:r>
            <w:proofErr w:type="gramStart"/>
            <w:r>
              <w:rPr>
                <w:sz w:val="20"/>
                <w:szCs w:val="20"/>
                <w:shd w:val="clear" w:color="auto" w:fill="F2F2F2"/>
              </w:rPr>
              <w:t>coordination</w:t>
            </w:r>
            <w:r>
              <w:rPr>
                <w:sz w:val="20"/>
                <w:szCs w:val="20"/>
                <w:shd w:val="clear" w:color="auto" w:fill="F2F2F2"/>
                <w:vertAlign w:val="superscript"/>
              </w:rPr>
              <w:t>[</w:t>
            </w:r>
            <w:proofErr w:type="gramEnd"/>
            <w:r>
              <w:rPr>
                <w:sz w:val="20"/>
                <w:szCs w:val="20"/>
                <w:shd w:val="clear" w:color="auto" w:fill="F2F2F2"/>
                <w:vertAlign w:val="superscript"/>
              </w:rPr>
              <w:t>a]</w:t>
            </w:r>
          </w:p>
        </w:tc>
      </w:tr>
      <w:tr w:rsidR="00317BE3" w14:paraId="03C36E59" w14:textId="77777777">
        <w:tc>
          <w:tcPr>
            <w:tcW w:w="3855" w:type="dxa"/>
            <w:tcBorders>
              <w:left w:val="single" w:sz="8" w:space="0" w:color="BFBFBF"/>
              <w:bottom w:val="single" w:sz="8" w:space="0" w:color="BFBFBF"/>
              <w:right w:val="single" w:sz="8" w:space="0" w:color="BFBFBF"/>
            </w:tcBorders>
            <w:tcMar>
              <w:top w:w="43" w:type="dxa"/>
              <w:left w:w="43" w:type="dxa"/>
              <w:bottom w:w="43" w:type="dxa"/>
              <w:right w:w="43" w:type="dxa"/>
            </w:tcMar>
            <w:vAlign w:val="center"/>
          </w:tcPr>
          <w:p w14:paraId="78F48EED" w14:textId="77777777" w:rsidR="00317BE3" w:rsidRDefault="00A53922" w:rsidP="00EA2A5C">
            <w:pPr>
              <w:pStyle w:val="normal0"/>
              <w:jc w:val="left"/>
            </w:pPr>
            <w:r>
              <w:rPr>
                <w:sz w:val="20"/>
                <w:szCs w:val="20"/>
              </w:rPr>
              <w:t>3. Design new identifiers for diverse uses by others</w:t>
            </w:r>
          </w:p>
        </w:tc>
        <w:tc>
          <w:tcPr>
            <w:tcW w:w="103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591C2311"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215" w:type="dxa"/>
            <w:tcBorders>
              <w:bottom w:val="single" w:sz="8" w:space="0" w:color="BFBFBF"/>
              <w:right w:val="single" w:sz="8" w:space="0" w:color="BFBFBF"/>
            </w:tcBorders>
            <w:shd w:val="clear" w:color="auto" w:fill="548DD4"/>
            <w:tcMar>
              <w:top w:w="43" w:type="dxa"/>
              <w:left w:w="43" w:type="dxa"/>
              <w:bottom w:w="43" w:type="dxa"/>
              <w:right w:w="43" w:type="dxa"/>
            </w:tcMar>
            <w:vAlign w:val="center"/>
          </w:tcPr>
          <w:p w14:paraId="277A1E84"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548DD4"/>
              </w:rPr>
              <w:t>indirect</w:t>
            </w:r>
            <w:proofErr w:type="gramEnd"/>
          </w:p>
        </w:tc>
        <w:tc>
          <w:tcPr>
            <w:tcW w:w="1095" w:type="dxa"/>
            <w:tcBorders>
              <w:bottom w:val="single" w:sz="8" w:space="0" w:color="BFBFBF"/>
              <w:right w:val="single" w:sz="8" w:space="0" w:color="BFBFBF"/>
            </w:tcBorders>
            <w:shd w:val="clear" w:color="auto" w:fill="548DD4"/>
            <w:tcMar>
              <w:top w:w="43" w:type="dxa"/>
              <w:left w:w="43" w:type="dxa"/>
              <w:bottom w:w="43" w:type="dxa"/>
              <w:right w:w="43" w:type="dxa"/>
            </w:tcMar>
            <w:vAlign w:val="center"/>
          </w:tcPr>
          <w:p w14:paraId="12F1718B"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548DD4"/>
              </w:rPr>
              <w:t>indirect</w:t>
            </w:r>
            <w:proofErr w:type="gramEnd"/>
          </w:p>
        </w:tc>
        <w:tc>
          <w:tcPr>
            <w:tcW w:w="1755" w:type="dxa"/>
            <w:tcBorders>
              <w:bottom w:val="single" w:sz="8" w:space="0" w:color="BFBFBF"/>
              <w:right w:val="single" w:sz="8" w:space="0" w:color="BFBFBF"/>
            </w:tcBorders>
            <w:tcMar>
              <w:top w:w="43" w:type="dxa"/>
              <w:left w:w="43" w:type="dxa"/>
              <w:bottom w:w="43" w:type="dxa"/>
              <w:right w:w="43" w:type="dxa"/>
            </w:tcMar>
            <w:vAlign w:val="center"/>
          </w:tcPr>
          <w:p w14:paraId="539D8ED4" w14:textId="77777777" w:rsidR="00317BE3" w:rsidRDefault="00A53922" w:rsidP="00EA2A5C">
            <w:pPr>
              <w:pStyle w:val="normal0"/>
              <w:jc w:val="left"/>
            </w:pPr>
            <w:r>
              <w:rPr>
                <w:sz w:val="20"/>
                <w:szCs w:val="20"/>
              </w:rPr>
              <w:t xml:space="preserve"> </w:t>
            </w:r>
          </w:p>
        </w:tc>
        <w:tc>
          <w:tcPr>
            <w:tcW w:w="1980" w:type="dxa"/>
            <w:tcBorders>
              <w:bottom w:val="single" w:sz="8" w:space="0" w:color="BFBFBF"/>
              <w:right w:val="single" w:sz="8" w:space="0" w:color="BFBFBF"/>
            </w:tcBorders>
            <w:tcMar>
              <w:top w:w="43" w:type="dxa"/>
              <w:left w:w="43" w:type="dxa"/>
              <w:bottom w:w="43" w:type="dxa"/>
              <w:right w:w="43" w:type="dxa"/>
            </w:tcMar>
            <w:vAlign w:val="center"/>
          </w:tcPr>
          <w:p w14:paraId="5E7D30BB" w14:textId="77777777" w:rsidR="00317BE3" w:rsidRDefault="00A53922" w:rsidP="00EA2A5C">
            <w:pPr>
              <w:pStyle w:val="normal0"/>
              <w:jc w:val="left"/>
            </w:pPr>
            <w:r>
              <w:rPr>
                <w:sz w:val="20"/>
                <w:szCs w:val="20"/>
              </w:rPr>
              <w:t xml:space="preserve">Identifier designer/ </w:t>
            </w:r>
            <w:proofErr w:type="gramStart"/>
            <w:r>
              <w:rPr>
                <w:sz w:val="20"/>
                <w:szCs w:val="20"/>
              </w:rPr>
              <w:t>validator</w:t>
            </w:r>
            <w:r>
              <w:rPr>
                <w:sz w:val="20"/>
                <w:szCs w:val="20"/>
                <w:vertAlign w:val="superscript"/>
              </w:rPr>
              <w:t>[</w:t>
            </w:r>
            <w:proofErr w:type="gramEnd"/>
            <w:r>
              <w:rPr>
                <w:sz w:val="20"/>
                <w:szCs w:val="20"/>
                <w:vertAlign w:val="superscript"/>
              </w:rPr>
              <w:t>e]</w:t>
            </w:r>
          </w:p>
        </w:tc>
      </w:tr>
      <w:tr w:rsidR="00317BE3" w14:paraId="2F3042A5" w14:textId="77777777">
        <w:tc>
          <w:tcPr>
            <w:tcW w:w="3855" w:type="dxa"/>
            <w:tcBorders>
              <w:left w:val="single" w:sz="8" w:space="0" w:color="BFBFBF"/>
              <w:bottom w:val="single" w:sz="8" w:space="0" w:color="BFBFBF"/>
              <w:right w:val="single" w:sz="8" w:space="0" w:color="BFBFBF"/>
            </w:tcBorders>
            <w:shd w:val="clear" w:color="auto" w:fill="F2F2F2"/>
            <w:tcMar>
              <w:top w:w="43" w:type="dxa"/>
              <w:left w:w="43" w:type="dxa"/>
              <w:bottom w:w="43" w:type="dxa"/>
              <w:right w:w="43" w:type="dxa"/>
            </w:tcMar>
            <w:vAlign w:val="center"/>
          </w:tcPr>
          <w:p w14:paraId="7B6CFBD5" w14:textId="77777777" w:rsidR="00317BE3" w:rsidRDefault="00A53922" w:rsidP="00EA2A5C">
            <w:pPr>
              <w:pStyle w:val="normal0"/>
              <w:jc w:val="left"/>
            </w:pPr>
            <w:r>
              <w:rPr>
                <w:sz w:val="20"/>
                <w:szCs w:val="20"/>
                <w:shd w:val="clear" w:color="auto" w:fill="F2F2F2"/>
              </w:rPr>
              <w:t>4. Avoid embedding meaning, or relying on it for uniqueness</w:t>
            </w:r>
          </w:p>
        </w:tc>
        <w:tc>
          <w:tcPr>
            <w:tcW w:w="103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1F0620BA"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21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49224D45"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09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43FB37C4"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755" w:type="dxa"/>
            <w:tcBorders>
              <w:bottom w:val="single" w:sz="8" w:space="0" w:color="BFBFBF"/>
              <w:right w:val="single" w:sz="8" w:space="0" w:color="BFBFBF"/>
            </w:tcBorders>
            <w:shd w:val="clear" w:color="auto" w:fill="F2F2F2"/>
            <w:tcMar>
              <w:top w:w="43" w:type="dxa"/>
              <w:left w:w="43" w:type="dxa"/>
              <w:bottom w:w="43" w:type="dxa"/>
              <w:right w:w="43" w:type="dxa"/>
            </w:tcMar>
            <w:vAlign w:val="center"/>
          </w:tcPr>
          <w:p w14:paraId="17974308" w14:textId="77777777" w:rsidR="00317BE3" w:rsidRDefault="00A53922" w:rsidP="00EA2A5C">
            <w:pPr>
              <w:pStyle w:val="normal0"/>
              <w:jc w:val="left"/>
            </w:pPr>
            <w:r>
              <w:rPr>
                <w:sz w:val="20"/>
                <w:szCs w:val="20"/>
                <w:shd w:val="clear" w:color="auto" w:fill="F2F2F2"/>
              </w:rPr>
              <w:t xml:space="preserve"> </w:t>
            </w:r>
          </w:p>
        </w:tc>
        <w:tc>
          <w:tcPr>
            <w:tcW w:w="1980" w:type="dxa"/>
            <w:tcBorders>
              <w:bottom w:val="single" w:sz="8" w:space="0" w:color="BFBFBF"/>
              <w:right w:val="single" w:sz="8" w:space="0" w:color="BFBFBF"/>
            </w:tcBorders>
            <w:shd w:val="clear" w:color="auto" w:fill="F2F2F2"/>
            <w:tcMar>
              <w:top w:w="43" w:type="dxa"/>
              <w:left w:w="43" w:type="dxa"/>
              <w:bottom w:w="43" w:type="dxa"/>
              <w:right w:w="43" w:type="dxa"/>
            </w:tcMar>
            <w:vAlign w:val="center"/>
          </w:tcPr>
          <w:p w14:paraId="20F341CE" w14:textId="77777777" w:rsidR="00317BE3" w:rsidRDefault="00A53922" w:rsidP="00EA2A5C">
            <w:pPr>
              <w:pStyle w:val="normal0"/>
              <w:jc w:val="left"/>
            </w:pPr>
            <w:r>
              <w:rPr>
                <w:sz w:val="20"/>
                <w:szCs w:val="20"/>
                <w:shd w:val="clear" w:color="auto" w:fill="F2F2F2"/>
              </w:rPr>
              <w:t>Increased awareness</w:t>
            </w:r>
          </w:p>
        </w:tc>
      </w:tr>
      <w:tr w:rsidR="00317BE3" w14:paraId="2A290F6D" w14:textId="77777777">
        <w:tc>
          <w:tcPr>
            <w:tcW w:w="3855" w:type="dxa"/>
            <w:tcBorders>
              <w:left w:val="single" w:sz="8" w:space="0" w:color="BFBFBF"/>
              <w:bottom w:val="single" w:sz="8" w:space="0" w:color="BFBFBF"/>
              <w:right w:val="single" w:sz="8" w:space="0" w:color="BFBFBF"/>
            </w:tcBorders>
            <w:tcMar>
              <w:top w:w="43" w:type="dxa"/>
              <w:left w:w="43" w:type="dxa"/>
              <w:bottom w:w="43" w:type="dxa"/>
              <w:right w:w="43" w:type="dxa"/>
            </w:tcMar>
            <w:vAlign w:val="center"/>
          </w:tcPr>
          <w:p w14:paraId="6979805E" w14:textId="77777777" w:rsidR="00317BE3" w:rsidRDefault="00A53922" w:rsidP="00EA2A5C">
            <w:pPr>
              <w:pStyle w:val="normal0"/>
              <w:jc w:val="left"/>
            </w:pPr>
            <w:r>
              <w:rPr>
                <w:sz w:val="20"/>
                <w:szCs w:val="20"/>
              </w:rPr>
              <w:t>5. Opt for simple, durable web resolution</w:t>
            </w:r>
          </w:p>
        </w:tc>
        <w:tc>
          <w:tcPr>
            <w:tcW w:w="103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753E7A79"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21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78ED7C79"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09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49CD2C5C"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755" w:type="dxa"/>
            <w:tcBorders>
              <w:bottom w:val="single" w:sz="8" w:space="0" w:color="BFBFBF"/>
              <w:right w:val="single" w:sz="8" w:space="0" w:color="BFBFBF"/>
            </w:tcBorders>
            <w:tcMar>
              <w:top w:w="43" w:type="dxa"/>
              <w:left w:w="43" w:type="dxa"/>
              <w:bottom w:w="43" w:type="dxa"/>
              <w:right w:w="43" w:type="dxa"/>
            </w:tcMar>
            <w:vAlign w:val="center"/>
          </w:tcPr>
          <w:p w14:paraId="5F2BAFBE" w14:textId="77777777" w:rsidR="00317BE3" w:rsidRDefault="00A53922" w:rsidP="00EA2A5C">
            <w:pPr>
              <w:pStyle w:val="normal0"/>
              <w:jc w:val="left"/>
            </w:pPr>
            <w:r>
              <w:rPr>
                <w:sz w:val="20"/>
                <w:szCs w:val="20"/>
              </w:rPr>
              <w:t>3</w:t>
            </w:r>
            <w:r>
              <w:rPr>
                <w:sz w:val="20"/>
                <w:szCs w:val="20"/>
                <w:vertAlign w:val="superscript"/>
              </w:rPr>
              <w:t>rd</w:t>
            </w:r>
            <w:r>
              <w:rPr>
                <w:sz w:val="20"/>
                <w:szCs w:val="20"/>
              </w:rPr>
              <w:t xml:space="preserve"> party </w:t>
            </w:r>
            <w:proofErr w:type="gramStart"/>
            <w:r>
              <w:rPr>
                <w:sz w:val="20"/>
                <w:szCs w:val="20"/>
              </w:rPr>
              <w:t>resolvers</w:t>
            </w:r>
            <w:r>
              <w:rPr>
                <w:sz w:val="20"/>
                <w:szCs w:val="20"/>
                <w:vertAlign w:val="superscript"/>
              </w:rPr>
              <w:t>[</w:t>
            </w:r>
            <w:proofErr w:type="gramEnd"/>
            <w:r>
              <w:rPr>
                <w:sz w:val="20"/>
                <w:szCs w:val="20"/>
                <w:vertAlign w:val="superscript"/>
              </w:rPr>
              <w:t>a]</w:t>
            </w:r>
          </w:p>
        </w:tc>
        <w:tc>
          <w:tcPr>
            <w:tcW w:w="1980" w:type="dxa"/>
            <w:tcBorders>
              <w:bottom w:val="single" w:sz="8" w:space="0" w:color="BFBFBF"/>
              <w:right w:val="single" w:sz="8" w:space="0" w:color="BFBFBF"/>
            </w:tcBorders>
            <w:tcMar>
              <w:top w:w="43" w:type="dxa"/>
              <w:left w:w="43" w:type="dxa"/>
              <w:bottom w:w="43" w:type="dxa"/>
              <w:right w:w="43" w:type="dxa"/>
            </w:tcMar>
            <w:vAlign w:val="center"/>
          </w:tcPr>
          <w:p w14:paraId="2A020290" w14:textId="77777777" w:rsidR="00317BE3" w:rsidRDefault="00A53922" w:rsidP="00EA2A5C">
            <w:pPr>
              <w:pStyle w:val="normal0"/>
              <w:jc w:val="left"/>
            </w:pPr>
            <w:r>
              <w:rPr>
                <w:sz w:val="20"/>
                <w:szCs w:val="20"/>
              </w:rPr>
              <w:t>Increased awareness</w:t>
            </w:r>
          </w:p>
        </w:tc>
      </w:tr>
      <w:tr w:rsidR="00317BE3" w14:paraId="014602E0" w14:textId="77777777">
        <w:tc>
          <w:tcPr>
            <w:tcW w:w="3855" w:type="dxa"/>
            <w:tcBorders>
              <w:left w:val="single" w:sz="8" w:space="0" w:color="BFBFBF"/>
              <w:bottom w:val="single" w:sz="8" w:space="0" w:color="BFBFBF"/>
              <w:right w:val="single" w:sz="8" w:space="0" w:color="BFBFBF"/>
            </w:tcBorders>
            <w:shd w:val="clear" w:color="auto" w:fill="F2F2F2"/>
            <w:tcMar>
              <w:top w:w="43" w:type="dxa"/>
              <w:left w:w="43" w:type="dxa"/>
              <w:bottom w:w="43" w:type="dxa"/>
              <w:right w:w="43" w:type="dxa"/>
            </w:tcMar>
            <w:vAlign w:val="center"/>
          </w:tcPr>
          <w:p w14:paraId="04419C85" w14:textId="77777777" w:rsidR="00317BE3" w:rsidRDefault="00A53922" w:rsidP="00EA2A5C">
            <w:pPr>
              <w:pStyle w:val="normal0"/>
              <w:jc w:val="left"/>
            </w:pPr>
            <w:r>
              <w:rPr>
                <w:sz w:val="20"/>
                <w:szCs w:val="20"/>
                <w:shd w:val="clear" w:color="auto" w:fill="F2F2F2"/>
              </w:rPr>
              <w:t>6. Implement a version-management policy</w:t>
            </w:r>
          </w:p>
        </w:tc>
        <w:tc>
          <w:tcPr>
            <w:tcW w:w="103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641E5E93"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21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7C1F1972"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095" w:type="dxa"/>
            <w:tcBorders>
              <w:bottom w:val="single" w:sz="8" w:space="0" w:color="BFBFBF"/>
              <w:right w:val="single" w:sz="8" w:space="0" w:color="BFBFBF"/>
            </w:tcBorders>
            <w:shd w:val="clear" w:color="auto" w:fill="548DD4"/>
            <w:tcMar>
              <w:top w:w="43" w:type="dxa"/>
              <w:left w:w="43" w:type="dxa"/>
              <w:bottom w:w="43" w:type="dxa"/>
              <w:right w:w="43" w:type="dxa"/>
            </w:tcMar>
            <w:vAlign w:val="center"/>
          </w:tcPr>
          <w:p w14:paraId="502027C5"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548DD4"/>
              </w:rPr>
              <w:t>indirect</w:t>
            </w:r>
            <w:proofErr w:type="gramEnd"/>
          </w:p>
        </w:tc>
        <w:tc>
          <w:tcPr>
            <w:tcW w:w="1755" w:type="dxa"/>
            <w:tcBorders>
              <w:bottom w:val="single" w:sz="8" w:space="0" w:color="BFBFBF"/>
              <w:right w:val="single" w:sz="8" w:space="0" w:color="BFBFBF"/>
            </w:tcBorders>
            <w:shd w:val="clear" w:color="auto" w:fill="F2F2F2"/>
            <w:tcMar>
              <w:top w:w="43" w:type="dxa"/>
              <w:left w:w="43" w:type="dxa"/>
              <w:bottom w:w="43" w:type="dxa"/>
              <w:right w:w="43" w:type="dxa"/>
            </w:tcMar>
            <w:vAlign w:val="center"/>
          </w:tcPr>
          <w:p w14:paraId="7CA2860E" w14:textId="77777777" w:rsidR="00317BE3" w:rsidRDefault="00A53922" w:rsidP="00EA2A5C">
            <w:pPr>
              <w:pStyle w:val="normal0"/>
              <w:jc w:val="left"/>
            </w:pPr>
            <w:r>
              <w:rPr>
                <w:sz w:val="20"/>
                <w:szCs w:val="20"/>
                <w:shd w:val="clear" w:color="auto" w:fill="F2F2F2"/>
              </w:rPr>
              <w:t xml:space="preserve"> </w:t>
            </w:r>
          </w:p>
        </w:tc>
        <w:tc>
          <w:tcPr>
            <w:tcW w:w="1980" w:type="dxa"/>
            <w:tcBorders>
              <w:bottom w:val="single" w:sz="8" w:space="0" w:color="BFBFBF"/>
              <w:right w:val="single" w:sz="8" w:space="0" w:color="BFBFBF"/>
            </w:tcBorders>
            <w:shd w:val="clear" w:color="auto" w:fill="F2F2F2"/>
            <w:tcMar>
              <w:top w:w="43" w:type="dxa"/>
              <w:left w:w="43" w:type="dxa"/>
              <w:bottom w:w="43" w:type="dxa"/>
              <w:right w:w="43" w:type="dxa"/>
            </w:tcMar>
            <w:vAlign w:val="center"/>
          </w:tcPr>
          <w:p w14:paraId="01FDD0F5" w14:textId="77777777" w:rsidR="00317BE3" w:rsidRDefault="00A53922" w:rsidP="00EA2A5C">
            <w:pPr>
              <w:pStyle w:val="normal0"/>
              <w:jc w:val="left"/>
            </w:pPr>
            <w:r>
              <w:rPr>
                <w:sz w:val="20"/>
                <w:szCs w:val="20"/>
                <w:shd w:val="clear" w:color="auto" w:fill="F2F2F2"/>
              </w:rPr>
              <w:t xml:space="preserve">Embeddable citation </w:t>
            </w:r>
            <w:proofErr w:type="gramStart"/>
            <w:r>
              <w:rPr>
                <w:sz w:val="20"/>
                <w:szCs w:val="20"/>
                <w:shd w:val="clear" w:color="auto" w:fill="F2F2F2"/>
              </w:rPr>
              <w:t>widget</w:t>
            </w:r>
            <w:r>
              <w:rPr>
                <w:sz w:val="20"/>
                <w:szCs w:val="20"/>
                <w:shd w:val="clear" w:color="auto" w:fill="F2F2F2"/>
                <w:vertAlign w:val="superscript"/>
              </w:rPr>
              <w:t>[</w:t>
            </w:r>
            <w:proofErr w:type="gramEnd"/>
            <w:r>
              <w:rPr>
                <w:sz w:val="20"/>
                <w:szCs w:val="20"/>
                <w:shd w:val="clear" w:color="auto" w:fill="F2F2F2"/>
                <w:vertAlign w:val="superscript"/>
              </w:rPr>
              <w:t>f]</w:t>
            </w:r>
          </w:p>
        </w:tc>
      </w:tr>
      <w:tr w:rsidR="00317BE3" w14:paraId="51B33C83" w14:textId="77777777">
        <w:tc>
          <w:tcPr>
            <w:tcW w:w="3855" w:type="dxa"/>
            <w:tcBorders>
              <w:left w:val="single" w:sz="8" w:space="0" w:color="BFBFBF"/>
              <w:bottom w:val="single" w:sz="8" w:space="0" w:color="BFBFBF"/>
              <w:right w:val="single" w:sz="8" w:space="0" w:color="BFBFBF"/>
            </w:tcBorders>
            <w:tcMar>
              <w:top w:w="43" w:type="dxa"/>
              <w:left w:w="43" w:type="dxa"/>
              <w:bottom w:w="43" w:type="dxa"/>
              <w:right w:w="43" w:type="dxa"/>
            </w:tcMar>
            <w:vAlign w:val="center"/>
          </w:tcPr>
          <w:p w14:paraId="75E903DF" w14:textId="77777777" w:rsidR="00317BE3" w:rsidRDefault="00A53922" w:rsidP="00EA2A5C">
            <w:pPr>
              <w:pStyle w:val="normal0"/>
              <w:jc w:val="left"/>
            </w:pPr>
            <w:r>
              <w:rPr>
                <w:sz w:val="20"/>
                <w:szCs w:val="20"/>
              </w:rPr>
              <w:t>7. Make URIs clear and findable</w:t>
            </w:r>
          </w:p>
        </w:tc>
        <w:tc>
          <w:tcPr>
            <w:tcW w:w="103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07467134"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21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34718D9E"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095" w:type="dxa"/>
            <w:tcBorders>
              <w:bottom w:val="single" w:sz="8" w:space="0" w:color="BFBFBF"/>
              <w:right w:val="single" w:sz="8" w:space="0" w:color="BFBFBF"/>
            </w:tcBorders>
            <w:shd w:val="clear" w:color="auto" w:fill="548DD4"/>
            <w:tcMar>
              <w:top w:w="43" w:type="dxa"/>
              <w:left w:w="43" w:type="dxa"/>
              <w:bottom w:w="43" w:type="dxa"/>
              <w:right w:w="43" w:type="dxa"/>
            </w:tcMar>
            <w:vAlign w:val="center"/>
          </w:tcPr>
          <w:p w14:paraId="0352A2F2"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548DD4"/>
              </w:rPr>
              <w:t>indirect</w:t>
            </w:r>
            <w:proofErr w:type="gramEnd"/>
          </w:p>
        </w:tc>
        <w:tc>
          <w:tcPr>
            <w:tcW w:w="1755" w:type="dxa"/>
            <w:tcBorders>
              <w:bottom w:val="single" w:sz="8" w:space="0" w:color="BFBFBF"/>
              <w:right w:val="single" w:sz="8" w:space="0" w:color="BFBFBF"/>
            </w:tcBorders>
            <w:tcMar>
              <w:top w:w="43" w:type="dxa"/>
              <w:left w:w="43" w:type="dxa"/>
              <w:bottom w:w="43" w:type="dxa"/>
              <w:right w:w="43" w:type="dxa"/>
            </w:tcMar>
            <w:vAlign w:val="center"/>
          </w:tcPr>
          <w:p w14:paraId="1441C867" w14:textId="77777777" w:rsidR="00317BE3" w:rsidRDefault="00A53922" w:rsidP="00EA2A5C">
            <w:pPr>
              <w:pStyle w:val="normal0"/>
              <w:jc w:val="left"/>
            </w:pPr>
            <w:r>
              <w:rPr>
                <w:sz w:val="20"/>
                <w:szCs w:val="20"/>
              </w:rPr>
              <w:t xml:space="preserve"> </w:t>
            </w:r>
          </w:p>
        </w:tc>
        <w:tc>
          <w:tcPr>
            <w:tcW w:w="1980" w:type="dxa"/>
            <w:tcBorders>
              <w:bottom w:val="single" w:sz="8" w:space="0" w:color="BFBFBF"/>
              <w:right w:val="single" w:sz="8" w:space="0" w:color="BFBFBF"/>
            </w:tcBorders>
            <w:tcMar>
              <w:top w:w="43" w:type="dxa"/>
              <w:left w:w="43" w:type="dxa"/>
              <w:bottom w:w="43" w:type="dxa"/>
              <w:right w:w="43" w:type="dxa"/>
            </w:tcMar>
            <w:vAlign w:val="center"/>
          </w:tcPr>
          <w:p w14:paraId="3AB1CA86" w14:textId="77777777" w:rsidR="00317BE3" w:rsidRDefault="00A53922" w:rsidP="00EA2A5C">
            <w:pPr>
              <w:pStyle w:val="normal0"/>
              <w:jc w:val="left"/>
            </w:pPr>
            <w:r>
              <w:rPr>
                <w:sz w:val="20"/>
                <w:szCs w:val="20"/>
              </w:rPr>
              <w:t>3</w:t>
            </w:r>
            <w:r>
              <w:rPr>
                <w:sz w:val="20"/>
                <w:szCs w:val="20"/>
                <w:vertAlign w:val="superscript"/>
              </w:rPr>
              <w:t>rd</w:t>
            </w:r>
            <w:r>
              <w:rPr>
                <w:sz w:val="20"/>
                <w:szCs w:val="20"/>
              </w:rPr>
              <w:t xml:space="preserve"> party archiving </w:t>
            </w:r>
            <w:proofErr w:type="gramStart"/>
            <w:r>
              <w:rPr>
                <w:sz w:val="20"/>
                <w:szCs w:val="20"/>
              </w:rPr>
              <w:t>services</w:t>
            </w:r>
            <w:r>
              <w:rPr>
                <w:sz w:val="20"/>
                <w:szCs w:val="20"/>
                <w:vertAlign w:val="superscript"/>
              </w:rPr>
              <w:t>[</w:t>
            </w:r>
            <w:proofErr w:type="gramEnd"/>
            <w:r>
              <w:rPr>
                <w:sz w:val="20"/>
                <w:szCs w:val="20"/>
                <w:vertAlign w:val="superscript"/>
              </w:rPr>
              <w:t>g]</w:t>
            </w:r>
          </w:p>
        </w:tc>
      </w:tr>
      <w:tr w:rsidR="00317BE3" w14:paraId="29A578D9" w14:textId="77777777">
        <w:tc>
          <w:tcPr>
            <w:tcW w:w="3855" w:type="dxa"/>
            <w:tcBorders>
              <w:left w:val="single" w:sz="8" w:space="0" w:color="BFBFBF"/>
              <w:bottom w:val="single" w:sz="8" w:space="0" w:color="BFBFBF"/>
              <w:right w:val="single" w:sz="8" w:space="0" w:color="BFBFBF"/>
            </w:tcBorders>
            <w:shd w:val="clear" w:color="auto" w:fill="F2F2F2"/>
            <w:tcMar>
              <w:top w:w="43" w:type="dxa"/>
              <w:left w:w="43" w:type="dxa"/>
              <w:bottom w:w="43" w:type="dxa"/>
              <w:right w:w="43" w:type="dxa"/>
            </w:tcMar>
            <w:vAlign w:val="center"/>
          </w:tcPr>
          <w:p w14:paraId="64255284" w14:textId="77777777" w:rsidR="00317BE3" w:rsidRDefault="00A53922" w:rsidP="00EA2A5C">
            <w:pPr>
              <w:pStyle w:val="normal0"/>
              <w:jc w:val="left"/>
            </w:pPr>
            <w:r>
              <w:rPr>
                <w:sz w:val="20"/>
                <w:szCs w:val="20"/>
                <w:shd w:val="clear" w:color="auto" w:fill="F2F2F2"/>
              </w:rPr>
              <w:t>8. Do not reassign or delete identifiers</w:t>
            </w:r>
          </w:p>
        </w:tc>
        <w:tc>
          <w:tcPr>
            <w:tcW w:w="103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06DB857F"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21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2E9D1010"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095" w:type="dxa"/>
            <w:tcBorders>
              <w:bottom w:val="single" w:sz="8" w:space="0" w:color="BFBFBF"/>
              <w:right w:val="single" w:sz="8" w:space="0" w:color="BFBFBF"/>
            </w:tcBorders>
            <w:shd w:val="clear" w:color="auto" w:fill="548DD4"/>
            <w:tcMar>
              <w:top w:w="43" w:type="dxa"/>
              <w:left w:w="43" w:type="dxa"/>
              <w:bottom w:w="43" w:type="dxa"/>
              <w:right w:w="43" w:type="dxa"/>
            </w:tcMar>
            <w:vAlign w:val="center"/>
          </w:tcPr>
          <w:p w14:paraId="5A7DEEC2"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548DD4"/>
              </w:rPr>
              <w:t>indirect</w:t>
            </w:r>
            <w:proofErr w:type="gramEnd"/>
          </w:p>
        </w:tc>
        <w:tc>
          <w:tcPr>
            <w:tcW w:w="1755" w:type="dxa"/>
            <w:tcBorders>
              <w:bottom w:val="single" w:sz="8" w:space="0" w:color="BFBFBF"/>
              <w:right w:val="single" w:sz="8" w:space="0" w:color="BFBFBF"/>
            </w:tcBorders>
            <w:shd w:val="clear" w:color="auto" w:fill="F2F2F2"/>
            <w:tcMar>
              <w:top w:w="43" w:type="dxa"/>
              <w:left w:w="43" w:type="dxa"/>
              <w:bottom w:w="43" w:type="dxa"/>
              <w:right w:w="43" w:type="dxa"/>
            </w:tcMar>
            <w:vAlign w:val="center"/>
          </w:tcPr>
          <w:p w14:paraId="2C3D641E" w14:textId="77777777" w:rsidR="00317BE3" w:rsidRDefault="00A53922" w:rsidP="00EA2A5C">
            <w:pPr>
              <w:pStyle w:val="normal0"/>
              <w:jc w:val="left"/>
            </w:pPr>
            <w:r>
              <w:rPr>
                <w:sz w:val="20"/>
                <w:szCs w:val="20"/>
                <w:shd w:val="clear" w:color="auto" w:fill="F2F2F2"/>
              </w:rPr>
              <w:t xml:space="preserve">Protein Identifier Cross </w:t>
            </w:r>
            <w:proofErr w:type="gramStart"/>
            <w:r>
              <w:rPr>
                <w:sz w:val="20"/>
                <w:szCs w:val="20"/>
                <w:shd w:val="clear" w:color="auto" w:fill="F2F2F2"/>
              </w:rPr>
              <w:t>Reference</w:t>
            </w:r>
            <w:r>
              <w:rPr>
                <w:sz w:val="20"/>
                <w:szCs w:val="20"/>
                <w:shd w:val="clear" w:color="auto" w:fill="F2F2F2"/>
                <w:vertAlign w:val="superscript"/>
              </w:rPr>
              <w:t>[</w:t>
            </w:r>
            <w:proofErr w:type="gramEnd"/>
            <w:r>
              <w:rPr>
                <w:sz w:val="20"/>
                <w:szCs w:val="20"/>
                <w:shd w:val="clear" w:color="auto" w:fill="F2F2F2"/>
                <w:vertAlign w:val="superscript"/>
              </w:rPr>
              <w:t>b]</w:t>
            </w:r>
          </w:p>
        </w:tc>
        <w:tc>
          <w:tcPr>
            <w:tcW w:w="1980" w:type="dxa"/>
            <w:tcBorders>
              <w:bottom w:val="single" w:sz="8" w:space="0" w:color="BFBFBF"/>
              <w:right w:val="single" w:sz="8" w:space="0" w:color="BFBFBF"/>
            </w:tcBorders>
            <w:shd w:val="clear" w:color="auto" w:fill="F2F2F2"/>
            <w:tcMar>
              <w:top w:w="43" w:type="dxa"/>
              <w:left w:w="43" w:type="dxa"/>
              <w:bottom w:w="43" w:type="dxa"/>
              <w:right w:w="43" w:type="dxa"/>
            </w:tcMar>
            <w:vAlign w:val="center"/>
          </w:tcPr>
          <w:p w14:paraId="4A368BFE" w14:textId="77777777" w:rsidR="00317BE3" w:rsidRDefault="00A53922" w:rsidP="00EA2A5C">
            <w:pPr>
              <w:pStyle w:val="normal0"/>
              <w:jc w:val="left"/>
            </w:pPr>
            <w:r>
              <w:rPr>
                <w:sz w:val="20"/>
                <w:szCs w:val="20"/>
                <w:shd w:val="clear" w:color="auto" w:fill="F2F2F2"/>
              </w:rPr>
              <w:t xml:space="preserve"> </w:t>
            </w:r>
          </w:p>
        </w:tc>
      </w:tr>
      <w:tr w:rsidR="00317BE3" w14:paraId="164D99A4" w14:textId="77777777">
        <w:tc>
          <w:tcPr>
            <w:tcW w:w="3855" w:type="dxa"/>
            <w:tcBorders>
              <w:left w:val="single" w:sz="8" w:space="0" w:color="BFBFBF"/>
              <w:bottom w:val="single" w:sz="8" w:space="0" w:color="BFBFBF"/>
              <w:right w:val="single" w:sz="8" w:space="0" w:color="BFBFBF"/>
            </w:tcBorders>
            <w:tcMar>
              <w:top w:w="43" w:type="dxa"/>
              <w:left w:w="43" w:type="dxa"/>
              <w:bottom w:w="43" w:type="dxa"/>
              <w:right w:w="43" w:type="dxa"/>
            </w:tcMar>
            <w:vAlign w:val="center"/>
          </w:tcPr>
          <w:p w14:paraId="4C19F40C" w14:textId="77777777" w:rsidR="00317BE3" w:rsidRDefault="00A53922" w:rsidP="00EA2A5C">
            <w:pPr>
              <w:pStyle w:val="normal0"/>
              <w:jc w:val="left"/>
            </w:pPr>
            <w:r>
              <w:rPr>
                <w:sz w:val="20"/>
                <w:szCs w:val="20"/>
              </w:rPr>
              <w:t>9. Document the identifiers you issue and use</w:t>
            </w:r>
          </w:p>
        </w:tc>
        <w:tc>
          <w:tcPr>
            <w:tcW w:w="103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1AB45AAF"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21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1407BBC0"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09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07BA75DE"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755" w:type="dxa"/>
            <w:tcBorders>
              <w:bottom w:val="single" w:sz="8" w:space="0" w:color="BFBFBF"/>
              <w:right w:val="single" w:sz="8" w:space="0" w:color="BFBFBF"/>
            </w:tcBorders>
            <w:tcMar>
              <w:top w:w="43" w:type="dxa"/>
              <w:left w:w="43" w:type="dxa"/>
              <w:bottom w:w="43" w:type="dxa"/>
              <w:right w:w="43" w:type="dxa"/>
            </w:tcMar>
            <w:vAlign w:val="center"/>
          </w:tcPr>
          <w:p w14:paraId="17487335" w14:textId="77777777" w:rsidR="00317BE3" w:rsidRDefault="00A53922" w:rsidP="00EA2A5C">
            <w:pPr>
              <w:pStyle w:val="normal0"/>
              <w:jc w:val="left"/>
            </w:pPr>
            <w:r>
              <w:rPr>
                <w:sz w:val="20"/>
                <w:szCs w:val="20"/>
              </w:rPr>
              <w:t>HCLS dataset descriptions</w:t>
            </w:r>
            <w:r>
              <w:rPr>
                <w:sz w:val="20"/>
                <w:szCs w:val="20"/>
                <w:vertAlign w:val="superscript"/>
              </w:rPr>
              <w:t>[c]</w:t>
            </w:r>
          </w:p>
        </w:tc>
        <w:tc>
          <w:tcPr>
            <w:tcW w:w="1980" w:type="dxa"/>
            <w:tcBorders>
              <w:bottom w:val="single" w:sz="8" w:space="0" w:color="BFBFBF"/>
              <w:right w:val="single" w:sz="8" w:space="0" w:color="BFBFBF"/>
            </w:tcBorders>
            <w:tcMar>
              <w:top w:w="43" w:type="dxa"/>
              <w:left w:w="43" w:type="dxa"/>
              <w:bottom w:w="43" w:type="dxa"/>
              <w:right w:w="43" w:type="dxa"/>
            </w:tcMar>
            <w:vAlign w:val="center"/>
          </w:tcPr>
          <w:p w14:paraId="51787C83" w14:textId="77777777" w:rsidR="00317BE3" w:rsidRDefault="00A53922" w:rsidP="00EA2A5C">
            <w:pPr>
              <w:pStyle w:val="normal0"/>
              <w:jc w:val="left"/>
            </w:pPr>
            <w:r>
              <w:rPr>
                <w:sz w:val="20"/>
                <w:szCs w:val="20"/>
              </w:rPr>
              <w:t xml:space="preserve">Increased awareness, </w:t>
            </w:r>
            <w:proofErr w:type="gramStart"/>
            <w:r>
              <w:rPr>
                <w:sz w:val="20"/>
                <w:szCs w:val="20"/>
              </w:rPr>
              <w:t>Bioschemas.org</w:t>
            </w:r>
            <w:r>
              <w:rPr>
                <w:sz w:val="20"/>
                <w:szCs w:val="20"/>
                <w:vertAlign w:val="superscript"/>
              </w:rPr>
              <w:t>[</w:t>
            </w:r>
            <w:proofErr w:type="gramEnd"/>
            <w:r>
              <w:rPr>
                <w:sz w:val="20"/>
                <w:szCs w:val="20"/>
                <w:vertAlign w:val="superscript"/>
              </w:rPr>
              <w:t>h]</w:t>
            </w:r>
          </w:p>
        </w:tc>
      </w:tr>
      <w:tr w:rsidR="00317BE3" w14:paraId="3344AFF2" w14:textId="77777777">
        <w:tc>
          <w:tcPr>
            <w:tcW w:w="3855" w:type="dxa"/>
            <w:tcBorders>
              <w:left w:val="single" w:sz="8" w:space="0" w:color="BFBFBF"/>
              <w:bottom w:val="single" w:sz="8" w:space="0" w:color="BFBFBF"/>
              <w:right w:val="single" w:sz="8" w:space="0" w:color="BFBFBF"/>
            </w:tcBorders>
            <w:shd w:val="clear" w:color="auto" w:fill="F2F2F2"/>
            <w:tcMar>
              <w:top w:w="43" w:type="dxa"/>
              <w:left w:w="43" w:type="dxa"/>
              <w:bottom w:w="43" w:type="dxa"/>
              <w:right w:w="43" w:type="dxa"/>
            </w:tcMar>
            <w:vAlign w:val="center"/>
          </w:tcPr>
          <w:p w14:paraId="3A0BD935" w14:textId="77777777" w:rsidR="00317BE3" w:rsidRDefault="00A53922" w:rsidP="00EA2A5C">
            <w:pPr>
              <w:pStyle w:val="normal0"/>
              <w:jc w:val="left"/>
            </w:pPr>
            <w:r>
              <w:rPr>
                <w:sz w:val="20"/>
                <w:szCs w:val="20"/>
                <w:shd w:val="clear" w:color="auto" w:fill="F2F2F2"/>
              </w:rPr>
              <w:t>10. Reference and display responsibly</w:t>
            </w:r>
          </w:p>
        </w:tc>
        <w:tc>
          <w:tcPr>
            <w:tcW w:w="103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73989BAB"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21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4098F205"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095" w:type="dxa"/>
            <w:tcBorders>
              <w:bottom w:val="single" w:sz="8" w:space="0" w:color="BFBFBF"/>
              <w:right w:val="single" w:sz="8" w:space="0" w:color="BFBFBF"/>
            </w:tcBorders>
            <w:shd w:val="clear" w:color="auto" w:fill="17365D"/>
            <w:tcMar>
              <w:top w:w="43" w:type="dxa"/>
              <w:left w:w="43" w:type="dxa"/>
              <w:bottom w:w="43" w:type="dxa"/>
              <w:right w:w="43" w:type="dxa"/>
            </w:tcMar>
            <w:vAlign w:val="center"/>
          </w:tcPr>
          <w:p w14:paraId="4689903E" w14:textId="77777777" w:rsidR="00317BE3" w:rsidRDefault="00A53922" w:rsidP="00EA2A5C">
            <w:pPr>
              <w:pStyle w:val="normal0"/>
              <w:jc w:val="center"/>
            </w:pPr>
            <w:proofErr w:type="gramStart"/>
            <w:r>
              <w:rPr>
                <w:rFonts w:ascii="Arial Narrow" w:eastAsia="Arial Narrow" w:hAnsi="Arial Narrow" w:cs="Arial Narrow"/>
                <w:b/>
                <w:color w:val="0B5394"/>
                <w:sz w:val="16"/>
                <w:szCs w:val="16"/>
                <w:shd w:val="clear" w:color="auto" w:fill="17365D"/>
              </w:rPr>
              <w:t>direct</w:t>
            </w:r>
            <w:proofErr w:type="gramEnd"/>
          </w:p>
        </w:tc>
        <w:tc>
          <w:tcPr>
            <w:tcW w:w="1755" w:type="dxa"/>
            <w:tcBorders>
              <w:bottom w:val="single" w:sz="8" w:space="0" w:color="BFBFBF"/>
              <w:right w:val="single" w:sz="8" w:space="0" w:color="BFBFBF"/>
            </w:tcBorders>
            <w:shd w:val="clear" w:color="auto" w:fill="F2F2F2"/>
            <w:tcMar>
              <w:top w:w="43" w:type="dxa"/>
              <w:left w:w="43" w:type="dxa"/>
              <w:bottom w:w="43" w:type="dxa"/>
              <w:right w:w="43" w:type="dxa"/>
            </w:tcMar>
            <w:vAlign w:val="center"/>
          </w:tcPr>
          <w:p w14:paraId="266F7FFA" w14:textId="77777777" w:rsidR="00317BE3" w:rsidRDefault="00A53922" w:rsidP="00EA2A5C">
            <w:pPr>
              <w:pStyle w:val="normal0"/>
              <w:jc w:val="left"/>
            </w:pPr>
            <w:r>
              <w:rPr>
                <w:sz w:val="20"/>
                <w:szCs w:val="20"/>
                <w:shd w:val="clear" w:color="auto" w:fill="F2F2F2"/>
              </w:rPr>
              <w:t xml:space="preserve">Journal Article Tag </w:t>
            </w:r>
            <w:proofErr w:type="gramStart"/>
            <w:r>
              <w:rPr>
                <w:sz w:val="20"/>
                <w:szCs w:val="20"/>
                <w:shd w:val="clear" w:color="auto" w:fill="F2F2F2"/>
              </w:rPr>
              <w:t>Suite</w:t>
            </w:r>
            <w:r>
              <w:rPr>
                <w:sz w:val="20"/>
                <w:szCs w:val="20"/>
                <w:shd w:val="clear" w:color="auto" w:fill="F2F2F2"/>
                <w:vertAlign w:val="superscript"/>
              </w:rPr>
              <w:t>[</w:t>
            </w:r>
            <w:proofErr w:type="gramEnd"/>
            <w:r>
              <w:rPr>
                <w:sz w:val="20"/>
                <w:szCs w:val="20"/>
                <w:shd w:val="clear" w:color="auto" w:fill="F2F2F2"/>
                <w:vertAlign w:val="superscript"/>
              </w:rPr>
              <w:t>d]</w:t>
            </w:r>
          </w:p>
        </w:tc>
        <w:tc>
          <w:tcPr>
            <w:tcW w:w="1980" w:type="dxa"/>
            <w:tcBorders>
              <w:bottom w:val="single" w:sz="8" w:space="0" w:color="BFBFBF"/>
              <w:right w:val="single" w:sz="8" w:space="0" w:color="BFBFBF"/>
            </w:tcBorders>
            <w:shd w:val="clear" w:color="auto" w:fill="F2F2F2"/>
            <w:tcMar>
              <w:top w:w="43" w:type="dxa"/>
              <w:left w:w="43" w:type="dxa"/>
              <w:bottom w:w="43" w:type="dxa"/>
              <w:right w:w="43" w:type="dxa"/>
            </w:tcMar>
            <w:vAlign w:val="center"/>
          </w:tcPr>
          <w:p w14:paraId="1E8D716A" w14:textId="77777777" w:rsidR="00317BE3" w:rsidRDefault="00A53922" w:rsidP="00EA2A5C">
            <w:pPr>
              <w:pStyle w:val="normal0"/>
              <w:jc w:val="left"/>
            </w:pPr>
            <w:r>
              <w:rPr>
                <w:sz w:val="20"/>
                <w:szCs w:val="20"/>
                <w:shd w:val="clear" w:color="auto" w:fill="F2F2F2"/>
              </w:rPr>
              <w:t xml:space="preserve">Increased </w:t>
            </w:r>
            <w:proofErr w:type="gramStart"/>
            <w:r>
              <w:rPr>
                <w:sz w:val="20"/>
                <w:szCs w:val="20"/>
                <w:shd w:val="clear" w:color="auto" w:fill="F2F2F2"/>
              </w:rPr>
              <w:t>awareness</w:t>
            </w:r>
            <w:r>
              <w:rPr>
                <w:sz w:val="20"/>
                <w:szCs w:val="20"/>
                <w:shd w:val="clear" w:color="auto" w:fill="F2F2F2"/>
                <w:vertAlign w:val="superscript"/>
              </w:rPr>
              <w:t>[</w:t>
            </w:r>
            <w:proofErr w:type="gramEnd"/>
            <w:r>
              <w:rPr>
                <w:sz w:val="20"/>
                <w:szCs w:val="20"/>
                <w:shd w:val="clear" w:color="auto" w:fill="F2F2F2"/>
                <w:vertAlign w:val="superscript"/>
              </w:rPr>
              <w:t>d]</w:t>
            </w:r>
            <w:r>
              <w:rPr>
                <w:sz w:val="20"/>
                <w:szCs w:val="20"/>
                <w:shd w:val="clear" w:color="auto" w:fill="F2F2F2"/>
              </w:rPr>
              <w:t>, Integration of data IDs in Ref managers</w:t>
            </w:r>
          </w:p>
        </w:tc>
      </w:tr>
    </w:tbl>
    <w:p w14:paraId="6D1EB8D8" w14:textId="77777777" w:rsidR="00317BE3" w:rsidRDefault="00317BE3" w:rsidP="00EA2A5C">
      <w:pPr>
        <w:pStyle w:val="normal0"/>
      </w:pPr>
    </w:p>
    <w:p w14:paraId="4EA61FD1" w14:textId="77777777" w:rsidR="00317BE3" w:rsidRDefault="00A53922" w:rsidP="00EA2A5C">
      <w:pPr>
        <w:pStyle w:val="normal0"/>
      </w:pPr>
      <w:r>
        <w:rPr>
          <w:b/>
        </w:rPr>
        <w:t xml:space="preserve">Table 1. A summary of the 10 recommendations, their relevance to different kinds of identifier actions, current and future efforts that would help lower barriers to best practice. </w:t>
      </w:r>
    </w:p>
    <w:p w14:paraId="561F7DC0" w14:textId="77777777" w:rsidR="00317BE3" w:rsidRDefault="00A53922" w:rsidP="00EA2A5C">
      <w:pPr>
        <w:pStyle w:val="normal0"/>
        <w:ind w:left="360" w:hanging="180"/>
      </w:pPr>
      <w:r>
        <w:rPr>
          <w:sz w:val="20"/>
          <w:szCs w:val="20"/>
        </w:rPr>
        <w:t xml:space="preserve">a. Registries, 3rd party resolvers: A list of identifier resolvers and identifier registries is in </w:t>
      </w:r>
      <w:r>
        <w:rPr>
          <w:b/>
          <w:sz w:val="20"/>
          <w:szCs w:val="20"/>
        </w:rPr>
        <w:t>Supplemental Table S3</w:t>
      </w:r>
      <w:r>
        <w:rPr>
          <w:sz w:val="20"/>
          <w:szCs w:val="20"/>
        </w:rPr>
        <w:t>.</w:t>
      </w:r>
    </w:p>
    <w:p w14:paraId="11280D03" w14:textId="77777777" w:rsidR="00317BE3" w:rsidRDefault="00A53922" w:rsidP="00EA2A5C">
      <w:pPr>
        <w:pStyle w:val="normal0"/>
        <w:ind w:left="360" w:hanging="180"/>
      </w:pPr>
      <w:r>
        <w:rPr>
          <w:sz w:val="20"/>
          <w:szCs w:val="20"/>
        </w:rPr>
        <w:t>b. PICR: Protein Identifier Cross-Reference Service [</w:t>
      </w:r>
      <w:hyperlink r:id="rId16">
        <w:r>
          <w:rPr>
            <w:color w:val="0000FF"/>
            <w:sz w:val="20"/>
            <w:szCs w:val="20"/>
            <w:u w:val="single"/>
          </w:rPr>
          <w:t>9</w:t>
        </w:r>
      </w:hyperlink>
      <w:r>
        <w:rPr>
          <w:sz w:val="20"/>
          <w:szCs w:val="20"/>
        </w:rPr>
        <w:t>] has a service that returns identifier mappings, optionally including deleted ones. PICR or a similar service could be developed to have broader scope.</w:t>
      </w:r>
    </w:p>
    <w:p w14:paraId="4887F2E6" w14:textId="77777777" w:rsidR="00317BE3" w:rsidRDefault="00A53922" w:rsidP="00EA2A5C">
      <w:pPr>
        <w:pStyle w:val="normal0"/>
        <w:ind w:left="360" w:hanging="180"/>
      </w:pPr>
      <w:r>
        <w:rPr>
          <w:sz w:val="20"/>
          <w:szCs w:val="20"/>
        </w:rPr>
        <w:t>c. HCLS: Health Care and Life Sciences dataset descriptions [</w:t>
      </w:r>
      <w:hyperlink r:id="rId17">
        <w:r>
          <w:rPr>
            <w:color w:val="0000FF"/>
            <w:sz w:val="20"/>
            <w:szCs w:val="20"/>
            <w:u w:val="single"/>
          </w:rPr>
          <w:t>10</w:t>
        </w:r>
      </w:hyperlink>
      <w:r>
        <w:rPr>
          <w:sz w:val="20"/>
          <w:szCs w:val="20"/>
        </w:rPr>
        <w:t>] provide a standard representation of the original sources of data (and therefore identifiers) in any integrated dataset.</w:t>
      </w:r>
    </w:p>
    <w:p w14:paraId="227E2DFC" w14:textId="77777777" w:rsidR="00317BE3" w:rsidRDefault="00A53922" w:rsidP="00EA2A5C">
      <w:pPr>
        <w:pStyle w:val="normal0"/>
        <w:ind w:left="360" w:hanging="180"/>
      </w:pPr>
      <w:r>
        <w:rPr>
          <w:sz w:val="20"/>
          <w:szCs w:val="20"/>
        </w:rPr>
        <w:t>d. In the context of the literature, Journal Article Tag Suite [</w:t>
      </w:r>
      <w:hyperlink r:id="rId18">
        <w:r>
          <w:rPr>
            <w:color w:val="0000FF"/>
            <w:sz w:val="20"/>
            <w:szCs w:val="20"/>
            <w:u w:val="single"/>
          </w:rPr>
          <w:t>11</w:t>
        </w:r>
      </w:hyperlink>
      <w:r>
        <w:rPr>
          <w:sz w:val="20"/>
          <w:szCs w:val="20"/>
        </w:rPr>
        <w:t>] provides a standard way for data citations to be represented in the literature, facilitating credit and reward mechanisms. However, outside of the literature, referencing and display is primarily an issue of increasing awareness.</w:t>
      </w:r>
    </w:p>
    <w:p w14:paraId="5DB6DA83" w14:textId="77777777" w:rsidR="00317BE3" w:rsidRDefault="00A53922" w:rsidP="00EA2A5C">
      <w:pPr>
        <w:pStyle w:val="normal0"/>
        <w:ind w:left="360" w:hanging="180"/>
      </w:pPr>
      <w:r>
        <w:rPr>
          <w:sz w:val="20"/>
          <w:szCs w:val="20"/>
        </w:rPr>
        <w:t xml:space="preserve">e. Identifier designers could help data producers choose the design that best suits their particular use </w:t>
      </w:r>
      <w:proofErr w:type="gramStart"/>
      <w:r>
        <w:rPr>
          <w:sz w:val="20"/>
          <w:szCs w:val="20"/>
        </w:rPr>
        <w:t>case,</w:t>
      </w:r>
      <w:proofErr w:type="gramEnd"/>
      <w:r>
        <w:rPr>
          <w:sz w:val="20"/>
          <w:szCs w:val="20"/>
        </w:rPr>
        <w:t xml:space="preserve"> validators could determine whether an existing identifier is valid according to a published scheme.</w:t>
      </w:r>
    </w:p>
    <w:p w14:paraId="4AE9B5BF" w14:textId="77777777" w:rsidR="00317BE3" w:rsidRDefault="00A53922" w:rsidP="00EA2A5C">
      <w:pPr>
        <w:pStyle w:val="normal0"/>
        <w:ind w:left="360" w:hanging="180"/>
      </w:pPr>
      <w:r>
        <w:rPr>
          <w:sz w:val="20"/>
          <w:szCs w:val="20"/>
        </w:rPr>
        <w:t>f. Embeddable citation widgets could help providers display citation information, clearly and consistently.</w:t>
      </w:r>
    </w:p>
    <w:p w14:paraId="02EE3848" w14:textId="77777777" w:rsidR="00317BE3" w:rsidRDefault="00A53922" w:rsidP="00EA2A5C">
      <w:pPr>
        <w:pStyle w:val="normal0"/>
        <w:ind w:left="360" w:hanging="180"/>
      </w:pPr>
      <w:r>
        <w:rPr>
          <w:sz w:val="20"/>
          <w:szCs w:val="20"/>
        </w:rPr>
        <w:t>g. Archiving services: client-facing services include Memento web protocol [</w:t>
      </w:r>
      <w:hyperlink r:id="rId19">
        <w:r>
          <w:rPr>
            <w:color w:val="0000FF"/>
            <w:sz w:val="20"/>
            <w:szCs w:val="20"/>
            <w:u w:val="single"/>
          </w:rPr>
          <w:t>12</w:t>
        </w:r>
      </w:hyperlink>
      <w:r>
        <w:rPr>
          <w:sz w:val="20"/>
          <w:szCs w:val="20"/>
        </w:rPr>
        <w:t xml:space="preserve">]. We authors of this paper are not aware of any existing platforms that </w:t>
      </w:r>
      <w:r>
        <w:rPr>
          <w:i/>
          <w:sz w:val="20"/>
          <w:szCs w:val="20"/>
        </w:rPr>
        <w:t>providers</w:t>
      </w:r>
      <w:r>
        <w:rPr>
          <w:sz w:val="20"/>
          <w:szCs w:val="20"/>
        </w:rPr>
        <w:t xml:space="preserve"> can outsource their archiving to, but such a service may be worthwhile.</w:t>
      </w:r>
    </w:p>
    <w:p w14:paraId="07F1D81C" w14:textId="77777777" w:rsidR="00317BE3" w:rsidRDefault="00A53922" w:rsidP="00EA2A5C">
      <w:pPr>
        <w:pStyle w:val="normal0"/>
        <w:ind w:left="360" w:hanging="180"/>
      </w:pPr>
      <w:r>
        <w:rPr>
          <w:sz w:val="20"/>
          <w:szCs w:val="20"/>
        </w:rPr>
        <w:t>h. BioSchemas.org is promoting more consistent adoption of schema.org markup in the life sciences. [</w:t>
      </w:r>
      <w:hyperlink r:id="rId20">
        <w:r>
          <w:rPr>
            <w:color w:val="0000FF"/>
            <w:sz w:val="20"/>
            <w:szCs w:val="20"/>
            <w:u w:val="single"/>
          </w:rPr>
          <w:t>13</w:t>
        </w:r>
      </w:hyperlink>
      <w:r>
        <w:rPr>
          <w:sz w:val="20"/>
          <w:szCs w:val="20"/>
        </w:rPr>
        <w:t>] Markup can facilitate more transparent provenance and credit mechanisms of integrated data, as well as optimizing data for discovery by search engines, whether Google, or others.</w:t>
      </w:r>
    </w:p>
    <w:p w14:paraId="63FC5542" w14:textId="77777777" w:rsidR="00317BE3" w:rsidRDefault="00A53922" w:rsidP="00EA2A5C">
      <w:pPr>
        <w:pStyle w:val="Heading2"/>
      </w:pPr>
      <w:bookmarkStart w:id="3" w:name="_3znysh7" w:colFirst="0" w:colLast="0"/>
      <w:bookmarkEnd w:id="3"/>
      <w:r>
        <w:t>1. Credit any derived content using its original identifier</w:t>
      </w:r>
    </w:p>
    <w:p w14:paraId="625FA074" w14:textId="77777777" w:rsidR="00317BE3" w:rsidRDefault="00EA2A5C" w:rsidP="00EA2A5C">
      <w:pPr>
        <w:pStyle w:val="normal0"/>
      </w:pPr>
      <w:r>
        <w:rPr>
          <w:noProof/>
        </w:rPr>
        <w:drawing>
          <wp:anchor distT="0" distB="0" distL="114300" distR="114300" simplePos="0" relativeHeight="251658240" behindDoc="0" locked="0" layoutInCell="1" allowOverlap="1" wp14:anchorId="25971410" wp14:editId="2FE97AF6">
            <wp:simplePos x="0" y="0"/>
            <wp:positionH relativeFrom="column">
              <wp:posOffset>6985</wp:posOffset>
            </wp:positionH>
            <wp:positionV relativeFrom="paragraph">
              <wp:posOffset>1144270</wp:posOffset>
            </wp:positionV>
            <wp:extent cx="3543935" cy="4725670"/>
            <wp:effectExtent l="0" t="0" r="12065" b="0"/>
            <wp:wrapSquare wrapText="bothSides"/>
            <wp:docPr id="3"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21">
                      <a:extLst>
                        <a:ext uri="{28A0092B-C50C-407E-A947-70E740481C1C}">
                          <a14:useLocalDpi xmlns:a14="http://schemas.microsoft.com/office/drawing/2010/main" val="0"/>
                        </a:ext>
                      </a:extLst>
                    </a:blip>
                    <a:srcRect/>
                    <a:stretch>
                      <a:fillRect/>
                    </a:stretch>
                  </pic:blipFill>
                  <pic:spPr>
                    <a:xfrm>
                      <a:off x="0" y="0"/>
                      <a:ext cx="3543935" cy="4725670"/>
                    </a:xfrm>
                    <a:prstGeom prst="rect">
                      <a:avLst/>
                    </a:prstGeom>
                    <a:ln/>
                  </pic:spPr>
                </pic:pic>
              </a:graphicData>
            </a:graphic>
            <wp14:sizeRelH relativeFrom="page">
              <wp14:pctWidth>0</wp14:pctWidth>
            </wp14:sizeRelH>
            <wp14:sizeRelV relativeFrom="page">
              <wp14:pctHeight>0</wp14:pctHeight>
            </wp14:sizeRelV>
          </wp:anchor>
        </w:drawing>
      </w:r>
      <w:r w:rsidR="00A53922">
        <w:t xml:space="preserve">If you manage an online </w:t>
      </w:r>
      <w:r w:rsidR="00A53922">
        <w:rPr>
          <w:rFonts w:ascii="Consolas" w:eastAsia="Consolas" w:hAnsi="Consolas" w:cs="Consolas"/>
        </w:rPr>
        <w:t>database (repository</w:t>
      </w:r>
      <w:r w:rsidR="00A53922">
        <w:t xml:space="preserve">, </w:t>
      </w:r>
      <w:r w:rsidR="00A53922">
        <w:rPr>
          <w:rFonts w:ascii="Consolas" w:eastAsia="Consolas" w:hAnsi="Consolas" w:cs="Consolas"/>
        </w:rPr>
        <w:t>registry</w:t>
      </w:r>
      <w:r w:rsidR="00A53922">
        <w:t xml:space="preserve">, or </w:t>
      </w:r>
      <w:r w:rsidR="00A53922">
        <w:rPr>
          <w:rFonts w:ascii="Consolas" w:eastAsia="Consolas" w:hAnsi="Consolas" w:cs="Consolas"/>
        </w:rPr>
        <w:t>knowledgebase)</w:t>
      </w:r>
      <w:r w:rsidR="00A53922">
        <w:t>, consider its role in identifying and referencing the knowledge that it publishes. We advise that you only create your own identifiers for new knowledge (</w:t>
      </w:r>
      <w:r w:rsidR="00A53922">
        <w:rPr>
          <w:b/>
        </w:rPr>
        <w:t>Figure 1</w:t>
      </w:r>
      <w:r w:rsidR="00A53922">
        <w:t xml:space="preserve">). Wherever you are referring to existing knowledge, do so using existing identifiers (lesson 10): otherwise, wherever the 1:1 relationship of </w:t>
      </w:r>
      <w:proofErr w:type="spellStart"/>
      <w:r w:rsidR="00A53922">
        <w:t>identifier</w:t>
      </w:r>
      <w:proofErr w:type="gramStart"/>
      <w:r w:rsidR="00A53922">
        <w:t>:entity</w:t>
      </w:r>
      <w:proofErr w:type="spellEnd"/>
      <w:proofErr w:type="gramEnd"/>
      <w:r w:rsidR="00A53922">
        <w:t xml:space="preserve"> breaks down, costly mapping problems arise. Whether or not you create a new ID, it is vital to credit any derived content using its </w:t>
      </w:r>
      <w:r w:rsidR="00A53922">
        <w:rPr>
          <w:rFonts w:ascii="Consolas" w:eastAsia="Consolas" w:hAnsi="Consolas" w:cs="Consolas"/>
        </w:rPr>
        <w:t>indigenous identifiers [</w:t>
      </w:r>
      <w:hyperlink r:id="rId22">
        <w:r w:rsidR="00A53922">
          <w:rPr>
            <w:rFonts w:ascii="Consolas" w:eastAsia="Consolas" w:hAnsi="Consolas" w:cs="Consolas"/>
            <w:color w:val="0000FF"/>
            <w:u w:val="single"/>
          </w:rPr>
          <w:t>14</w:t>
        </w:r>
      </w:hyperlink>
      <w:r w:rsidR="00A53922">
        <w:rPr>
          <w:rFonts w:ascii="Consolas" w:eastAsia="Consolas" w:hAnsi="Consolas" w:cs="Consolas"/>
        </w:rPr>
        <w:t>]</w:t>
      </w:r>
      <w:r w:rsidR="00A53922">
        <w:t xml:space="preserve">; to facilitate data integration, all such identifiers should be machine </w:t>
      </w:r>
      <w:proofErr w:type="spellStart"/>
      <w:r w:rsidR="00A53922">
        <w:t>processable</w:t>
      </w:r>
      <w:proofErr w:type="spellEnd"/>
      <w:r w:rsidR="00A53922">
        <w:t>.</w:t>
      </w:r>
    </w:p>
    <w:p w14:paraId="099B6ABF" w14:textId="77777777" w:rsidR="00317BE3" w:rsidRDefault="00317BE3" w:rsidP="00EA2A5C">
      <w:pPr>
        <w:pStyle w:val="normal0"/>
      </w:pPr>
    </w:p>
    <w:p w14:paraId="2A5AC461" w14:textId="77777777" w:rsidR="00317BE3" w:rsidRDefault="00A53922" w:rsidP="00EA2A5C">
      <w:pPr>
        <w:pStyle w:val="normal0"/>
      </w:pPr>
      <w:r>
        <w:rPr>
          <w:b/>
        </w:rPr>
        <w:t xml:space="preserve">Figure 1. Contributions and roles related to content as they correspond to identifier creation </w:t>
      </w:r>
      <w:proofErr w:type="spellStart"/>
      <w:r>
        <w:rPr>
          <w:b/>
        </w:rPr>
        <w:t>vs</w:t>
      </w:r>
      <w:proofErr w:type="spellEnd"/>
      <w:r>
        <w:rPr>
          <w:b/>
        </w:rPr>
        <w:t xml:space="preserve"> reuse.</w:t>
      </w:r>
    </w:p>
    <w:p w14:paraId="772C9068" w14:textId="77777777" w:rsidR="00317BE3" w:rsidRDefault="00A53922" w:rsidP="00EA2A5C">
      <w:pPr>
        <w:pStyle w:val="normal0"/>
      </w:pPr>
      <w:r>
        <w:rPr>
          <w:sz w:val="20"/>
          <w:szCs w:val="20"/>
        </w:rPr>
        <w:t xml:space="preserve">The decision about whether to create a new identifier, or reuse an existing one depends on the role you play in the creation, editing, and republishing of content; for certain roles (and when several roles apply) that decision is a </w:t>
      </w:r>
      <w:proofErr w:type="spellStart"/>
      <w:r>
        <w:rPr>
          <w:sz w:val="20"/>
          <w:szCs w:val="20"/>
        </w:rPr>
        <w:t>judgement</w:t>
      </w:r>
      <w:proofErr w:type="spellEnd"/>
      <w:r>
        <w:rPr>
          <w:sz w:val="20"/>
          <w:szCs w:val="20"/>
        </w:rPr>
        <w:t xml:space="preserve"> call. However, if the </w:t>
      </w:r>
      <w:r>
        <w:rPr>
          <w:rFonts w:ascii="Consolas" w:eastAsia="Consolas" w:hAnsi="Consolas" w:cs="Consolas"/>
          <w:sz w:val="20"/>
          <w:szCs w:val="20"/>
        </w:rPr>
        <w:t>indigenous</w:t>
      </w:r>
      <w:r>
        <w:rPr>
          <w:sz w:val="20"/>
          <w:szCs w:val="20"/>
        </w:rPr>
        <w:t xml:space="preserve"> identifier is not explicitly reused and instead a new identifier is created, we strongly recommend that the </w:t>
      </w:r>
      <w:r>
        <w:rPr>
          <w:rFonts w:ascii="Consolas" w:eastAsia="Consolas" w:hAnsi="Consolas" w:cs="Consolas"/>
          <w:sz w:val="20"/>
          <w:szCs w:val="20"/>
        </w:rPr>
        <w:t>indigenous</w:t>
      </w:r>
      <w:r>
        <w:rPr>
          <w:sz w:val="20"/>
          <w:szCs w:val="20"/>
        </w:rPr>
        <w:t xml:space="preserve"> identifier be referenced and transparently mapped to the new identifier. In the roles of contributor and/or curator, the best course of action is often to correct/improve the original record in collaboration with the original source; the guidance about ID creation versus reuse is meant to apply only when such collaboration is not practicable (and an alternate record is created).</w:t>
      </w:r>
    </w:p>
    <w:p w14:paraId="03ACD774" w14:textId="77777777" w:rsidR="00317BE3" w:rsidRDefault="00A53922" w:rsidP="00EA2A5C">
      <w:pPr>
        <w:pStyle w:val="Heading2"/>
      </w:pPr>
      <w:bookmarkStart w:id="4" w:name="_m7dz6ctuaex" w:colFirst="0" w:colLast="0"/>
      <w:bookmarkStart w:id="5" w:name="_tyjcwt" w:colFirst="0" w:colLast="0"/>
      <w:bookmarkEnd w:id="4"/>
      <w:bookmarkEnd w:id="5"/>
      <w:r>
        <w:t xml:space="preserve">2. </w:t>
      </w:r>
      <w:r>
        <w:rPr>
          <w:sz w:val="34"/>
          <w:szCs w:val="34"/>
        </w:rPr>
        <w:t xml:space="preserve">Help local identifiers travel well: document prefix and patterns </w:t>
      </w:r>
    </w:p>
    <w:p w14:paraId="18D21F63" w14:textId="77777777" w:rsidR="00317BE3" w:rsidRDefault="00A53922" w:rsidP="00EA2A5C">
      <w:pPr>
        <w:pStyle w:val="normal0"/>
      </w:pPr>
      <w:r>
        <w:t xml:space="preserve">Data does not thrive in silos: it is most useful when reused, broken into parts and integrated with other data, for instance in database </w:t>
      </w:r>
      <w:proofErr w:type="gramStart"/>
      <w:r>
        <w:t>cross references</w:t>
      </w:r>
      <w:proofErr w:type="gramEnd"/>
      <w:r>
        <w:t xml:space="preserve"> (“</w:t>
      </w:r>
      <w:proofErr w:type="spellStart"/>
      <w:r>
        <w:rPr>
          <w:rFonts w:ascii="Consolas" w:eastAsia="Consolas" w:hAnsi="Consolas" w:cs="Consolas"/>
        </w:rPr>
        <w:t>db</w:t>
      </w:r>
      <w:proofErr w:type="spellEnd"/>
      <w:r>
        <w:rPr>
          <w:rFonts w:ascii="Consolas" w:eastAsia="Consolas" w:hAnsi="Consolas" w:cs="Consolas"/>
        </w:rPr>
        <w:t xml:space="preserve"> </w:t>
      </w:r>
      <w:proofErr w:type="spellStart"/>
      <w:r>
        <w:rPr>
          <w:rFonts w:ascii="Consolas" w:eastAsia="Consolas" w:hAnsi="Consolas" w:cs="Consolas"/>
        </w:rPr>
        <w:t>xrefs</w:t>
      </w:r>
      <w:proofErr w:type="spellEnd"/>
      <w:r>
        <w:t xml:space="preserve">”). In spite of how important identifiers are to this process, the confusion with identifiers </w:t>
      </w:r>
      <w:r>
        <w:lastRenderedPageBreak/>
        <w:t xml:space="preserve">often starts with the basics, including what the “identifier” even is. A </w:t>
      </w:r>
      <w:r>
        <w:rPr>
          <w:rFonts w:ascii="Consolas" w:eastAsia="Consolas" w:hAnsi="Consolas" w:cs="Consolas"/>
        </w:rPr>
        <w:t>local ID</w:t>
      </w:r>
      <w:r>
        <w:t xml:space="preserve"> (</w:t>
      </w:r>
      <w:r>
        <w:rPr>
          <w:b/>
        </w:rPr>
        <w:t>Box 1</w:t>
      </w:r>
      <w:r>
        <w:t>) is an identifier guaranteed only to be unique in a given local context (</w:t>
      </w:r>
      <w:proofErr w:type="spellStart"/>
      <w:r>
        <w:t>eg</w:t>
      </w:r>
      <w:proofErr w:type="spellEnd"/>
      <w:r>
        <w:t xml:space="preserve">. a single provider, a single collection, </w:t>
      </w:r>
      <w:proofErr w:type="spellStart"/>
      <w:r>
        <w:t>etc</w:t>
      </w:r>
      <w:proofErr w:type="spellEnd"/>
      <w:r>
        <w:t xml:space="preserve">), and sometimes only within a specific version; as such, it is poorly suited to facilitate data integration because it can collide when considered in a more global landscape of many such identifiers. For instance, the </w:t>
      </w:r>
      <w:r>
        <w:rPr>
          <w:rFonts w:ascii="Consolas" w:eastAsia="Consolas" w:hAnsi="Consolas" w:cs="Consolas"/>
        </w:rPr>
        <w:t>local ID</w:t>
      </w:r>
      <w:r>
        <w:t xml:space="preserve"> “9606” corresponds to numerous entities whose local accessions are based on simple digits, including: a </w:t>
      </w:r>
      <w:hyperlink r:id="rId23">
        <w:proofErr w:type="spellStart"/>
        <w:r>
          <w:rPr>
            <w:color w:val="0000FF"/>
            <w:u w:val="single"/>
          </w:rPr>
          <w:t>Pubmed</w:t>
        </w:r>
        <w:proofErr w:type="spellEnd"/>
        <w:r>
          <w:rPr>
            <w:color w:val="0000FF"/>
            <w:u w:val="single"/>
          </w:rPr>
          <w:t xml:space="preserve"> article</w:t>
        </w:r>
      </w:hyperlink>
      <w:r>
        <w:rPr>
          <w:color w:val="0000FF"/>
        </w:rPr>
        <w:t xml:space="preserve">, a </w:t>
      </w:r>
      <w:hyperlink r:id="rId24">
        <w:r>
          <w:rPr>
            <w:color w:val="0000FF"/>
            <w:u w:val="single"/>
          </w:rPr>
          <w:t>CGNC gene</w:t>
        </w:r>
      </w:hyperlink>
      <w:r>
        <w:rPr>
          <w:color w:val="0000FF"/>
        </w:rPr>
        <w:t xml:space="preserve">, a </w:t>
      </w:r>
      <w:hyperlink r:id="rId25">
        <w:proofErr w:type="spellStart"/>
        <w:r>
          <w:rPr>
            <w:color w:val="0000FF"/>
            <w:u w:val="single"/>
          </w:rPr>
          <w:t>PubChem</w:t>
        </w:r>
        <w:proofErr w:type="spellEnd"/>
        <w:r>
          <w:rPr>
            <w:color w:val="0000FF"/>
            <w:u w:val="single"/>
          </w:rPr>
          <w:t xml:space="preserve"> chemical</w:t>
        </w:r>
      </w:hyperlink>
      <w:r>
        <w:rPr>
          <w:color w:val="0000FF"/>
        </w:rPr>
        <w:t xml:space="preserve">, </w:t>
      </w:r>
      <w:r>
        <w:t xml:space="preserve">as well as an </w:t>
      </w:r>
      <w:hyperlink r:id="rId26">
        <w:r>
          <w:rPr>
            <w:color w:val="0000FF"/>
            <w:u w:val="single"/>
          </w:rPr>
          <w:t>NCBI taxon</w:t>
        </w:r>
      </w:hyperlink>
      <w:r>
        <w:rPr>
          <w:color w:val="0000FF"/>
        </w:rPr>
        <w:t xml:space="preserve">, a </w:t>
      </w:r>
      <w:hyperlink r:id="rId27">
        <w:r>
          <w:rPr>
            <w:color w:val="0000FF"/>
            <w:u w:val="single"/>
          </w:rPr>
          <w:t>BOLD taxon</w:t>
        </w:r>
      </w:hyperlink>
      <w:r>
        <w:rPr>
          <w:color w:val="0000FF"/>
        </w:rPr>
        <w:t>,</w:t>
      </w:r>
      <w:r>
        <w:t xml:space="preserve"> and a </w:t>
      </w:r>
      <w:hyperlink r:id="rId28">
        <w:r>
          <w:rPr>
            <w:color w:val="0000FF"/>
            <w:u w:val="single"/>
          </w:rPr>
          <w:t>GRIN taxon</w:t>
        </w:r>
      </w:hyperlink>
      <w:r>
        <w:t xml:space="preserve">. </w:t>
      </w:r>
      <w:r>
        <w:rPr>
          <w:rFonts w:ascii="Consolas" w:eastAsia="Consolas" w:hAnsi="Consolas" w:cs="Consolas"/>
        </w:rPr>
        <w:t>Local IDs</w:t>
      </w:r>
      <w:r>
        <w:t xml:space="preserve"> therefore need to </w:t>
      </w:r>
      <w:proofErr w:type="gramStart"/>
      <w:r>
        <w:t>be contextualized in order to be understood and</w:t>
      </w:r>
      <w:proofErr w:type="gramEnd"/>
      <w:r>
        <w:t xml:space="preserve"> accessed (resolved) on the web. This is often accomplished through the use of a </w:t>
      </w:r>
      <w:r>
        <w:rPr>
          <w:rFonts w:ascii="Consolas" w:eastAsia="Consolas" w:hAnsi="Consolas" w:cs="Consolas"/>
        </w:rPr>
        <w:t>prefix</w:t>
      </w:r>
      <w:r>
        <w:t xml:space="preserve">, which should be documented. If this is overwhelming, don’t forget that there are third party resolvers and services built to help for exactly this reason (see </w:t>
      </w:r>
      <w:r>
        <w:rPr>
          <w:b/>
        </w:rPr>
        <w:t>Lesson 5</w:t>
      </w:r>
      <w:r>
        <w:t xml:space="preserve">). </w:t>
      </w:r>
    </w:p>
    <w:p w14:paraId="500ACCD1" w14:textId="77777777" w:rsidR="00317BE3" w:rsidRDefault="00317BE3" w:rsidP="00EA2A5C">
      <w:pPr>
        <w:pStyle w:val="normal0"/>
      </w:pPr>
    </w:p>
    <w:p w14:paraId="49603C13" w14:textId="77777777" w:rsidR="00317BE3" w:rsidRDefault="00A53922" w:rsidP="00EA2A5C">
      <w:pPr>
        <w:pStyle w:val="normal0"/>
      </w:pPr>
      <w:r>
        <w:t xml:space="preserve">Tim Berners-Lee </w:t>
      </w:r>
      <w:proofErr w:type="gramStart"/>
      <w:r>
        <w:t>said</w:t>
      </w:r>
      <w:proofErr w:type="gramEnd"/>
      <w:r>
        <w:t xml:space="preserve"> “cool URIs don’t change” [</w:t>
      </w:r>
      <w:hyperlink r:id="rId29">
        <w:r>
          <w:rPr>
            <w:color w:val="0000FF"/>
            <w:u w:val="single"/>
          </w:rPr>
          <w:t>15</w:t>
        </w:r>
      </w:hyperlink>
      <w:r>
        <w:t xml:space="preserve">] because when </w:t>
      </w:r>
      <w:r>
        <w:rPr>
          <w:rFonts w:ascii="Consolas" w:eastAsia="Consolas" w:hAnsi="Consolas" w:cs="Consolas"/>
        </w:rPr>
        <w:t>URIs</w:t>
      </w:r>
      <w:r>
        <w:t xml:space="preserve"> </w:t>
      </w:r>
      <w:r>
        <w:rPr>
          <w:i/>
        </w:rPr>
        <w:t>do</w:t>
      </w:r>
      <w:r>
        <w:t xml:space="preserve"> </w:t>
      </w:r>
      <w:r>
        <w:rPr>
          <w:i/>
        </w:rPr>
        <w:t>change</w:t>
      </w:r>
      <w:r>
        <w:t xml:space="preserve"> (or disappear) all existing references break. In the context of academia alone, “</w:t>
      </w:r>
      <w:r>
        <w:rPr>
          <w:rFonts w:ascii="Consolas" w:eastAsia="Consolas" w:hAnsi="Consolas" w:cs="Consolas"/>
        </w:rPr>
        <w:t>reference rot</w:t>
      </w:r>
      <w:r>
        <w:t xml:space="preserve">” problem impacts one in five publications </w:t>
      </w:r>
      <w:r>
        <w:rPr>
          <w:rFonts w:ascii="Consolas" w:eastAsia="Consolas" w:hAnsi="Consolas" w:cs="Consolas"/>
        </w:rPr>
        <w:t>[</w:t>
      </w:r>
      <w:hyperlink r:id="rId30">
        <w:r>
          <w:rPr>
            <w:rFonts w:ascii="Consolas" w:eastAsia="Consolas" w:hAnsi="Consolas" w:cs="Consolas"/>
            <w:color w:val="0000FF"/>
            <w:u w:val="single"/>
          </w:rPr>
          <w:t>16</w:t>
        </w:r>
      </w:hyperlink>
      <w:r>
        <w:rPr>
          <w:rFonts w:ascii="Consolas" w:eastAsia="Consolas" w:hAnsi="Consolas" w:cs="Consolas"/>
        </w:rPr>
        <w:t>].</w:t>
      </w:r>
      <w:r>
        <w:t xml:space="preserve"> Despite </w:t>
      </w:r>
      <w:r>
        <w:rPr>
          <w:rFonts w:ascii="Consolas" w:eastAsia="Consolas" w:hAnsi="Consolas" w:cs="Consolas"/>
        </w:rPr>
        <w:t xml:space="preserve">link rot </w:t>
      </w:r>
      <w:r>
        <w:t>vulnerability, the global</w:t>
      </w:r>
      <w:r>
        <w:rPr>
          <w:rFonts w:ascii="Consolas" w:eastAsia="Consolas" w:hAnsi="Consolas" w:cs="Consolas"/>
        </w:rPr>
        <w:t xml:space="preserve"> http/s URI</w:t>
      </w:r>
      <w:r>
        <w:t xml:space="preserve"> </w:t>
      </w:r>
      <w:r>
        <w:rPr>
          <w:rFonts w:ascii="Consolas" w:eastAsia="Consolas" w:hAnsi="Consolas" w:cs="Consolas"/>
        </w:rPr>
        <w:t>(</w:t>
      </w:r>
      <w:r>
        <w:rPr>
          <w:b/>
        </w:rPr>
        <w:t>Box 1</w:t>
      </w:r>
      <w:r>
        <w:t>) is the best available identifier form for machine-driven global data integration because the http URI is a) a widely adopted IETF standard and b) its uniqueness is ensured by a single well-established name-granting process (</w:t>
      </w:r>
      <w:hyperlink r:id="rId31">
        <w:r>
          <w:rPr>
            <w:rFonts w:ascii="Consolas" w:eastAsia="Consolas" w:hAnsi="Consolas" w:cs="Consolas"/>
            <w:u w:val="single"/>
          </w:rPr>
          <w:t>DNS</w:t>
        </w:r>
      </w:hyperlink>
      <w:r>
        <w:t xml:space="preserve">). However, the length of </w:t>
      </w:r>
      <w:r>
        <w:rPr>
          <w:rFonts w:ascii="Consolas" w:eastAsia="Consolas" w:hAnsi="Consolas" w:cs="Consolas"/>
        </w:rPr>
        <w:t>URIs</w:t>
      </w:r>
      <w:r>
        <w:t xml:space="preserve"> can make them unwieldy for tasks involving human readability, even within structured machine-</w:t>
      </w:r>
      <w:proofErr w:type="spellStart"/>
      <w:r>
        <w:t>parsable</w:t>
      </w:r>
      <w:proofErr w:type="spellEnd"/>
      <w:r>
        <w:t xml:space="preserve"> documents [</w:t>
      </w:r>
      <w:hyperlink r:id="rId32">
        <w:r>
          <w:rPr>
            <w:color w:val="0000FF"/>
            <w:u w:val="single"/>
          </w:rPr>
          <w:t>17</w:t>
        </w:r>
      </w:hyperlink>
      <w:r>
        <w:t xml:space="preserve">]. </w:t>
      </w:r>
      <w:r>
        <w:rPr>
          <w:rFonts w:ascii="Consolas" w:eastAsia="Consolas" w:hAnsi="Consolas" w:cs="Consolas"/>
        </w:rPr>
        <w:t>Compact URIs (</w:t>
      </w:r>
      <w:proofErr w:type="gramStart"/>
      <w:r>
        <w:rPr>
          <w:rFonts w:ascii="Consolas" w:eastAsia="Consolas" w:hAnsi="Consolas" w:cs="Consolas"/>
        </w:rPr>
        <w:t>CURIEs</w:t>
      </w:r>
      <w:r>
        <w:t>[</w:t>
      </w:r>
      <w:proofErr w:type="gramEnd"/>
      <w:r>
        <w:fldChar w:fldCharType="begin"/>
      </w:r>
      <w:r>
        <w:instrText xml:space="preserve"> HYPERLINK "http://www.w3.org/TR/curie/" \h </w:instrText>
      </w:r>
      <w:r>
        <w:fldChar w:fldCharType="separate"/>
      </w:r>
      <w:r>
        <w:rPr>
          <w:color w:val="0000FF"/>
          <w:u w:val="single"/>
        </w:rPr>
        <w:t>18</w:t>
      </w:r>
      <w:r>
        <w:rPr>
          <w:color w:val="0000FF"/>
          <w:u w:val="single"/>
        </w:rPr>
        <w:fldChar w:fldCharType="end"/>
      </w:r>
      <w:r>
        <w:t xml:space="preserve">], </w:t>
      </w:r>
      <w:r>
        <w:rPr>
          <w:b/>
        </w:rPr>
        <w:t>Box 1</w:t>
      </w:r>
      <w:r>
        <w:t xml:space="preserve">) are a mature W3C standard that is well established in some contexts (e.g. </w:t>
      </w:r>
      <w:r>
        <w:rPr>
          <w:rFonts w:ascii="Consolas" w:eastAsia="Consolas" w:hAnsi="Consolas" w:cs="Consolas"/>
        </w:rPr>
        <w:t>JSON-LD</w:t>
      </w:r>
      <w:r>
        <w:t xml:space="preserve"> and </w:t>
      </w:r>
      <w:proofErr w:type="spellStart"/>
      <w:r>
        <w:rPr>
          <w:rFonts w:ascii="Consolas" w:eastAsia="Consolas" w:hAnsi="Consolas" w:cs="Consolas"/>
        </w:rPr>
        <w:t>RDFa</w:t>
      </w:r>
      <w:proofErr w:type="spellEnd"/>
      <w:r>
        <w:t xml:space="preserve">) as they enable </w:t>
      </w:r>
      <w:r>
        <w:rPr>
          <w:rFonts w:ascii="Consolas" w:eastAsia="Consolas" w:hAnsi="Consolas" w:cs="Consolas"/>
        </w:rPr>
        <w:t>URIs</w:t>
      </w:r>
      <w:r>
        <w:t xml:space="preserve"> to be understood and conveniently expressed. </w:t>
      </w:r>
      <w:r>
        <w:rPr>
          <w:rFonts w:ascii="Consolas" w:eastAsia="Consolas" w:hAnsi="Consolas" w:cs="Consolas"/>
        </w:rPr>
        <w:t>CURIEs</w:t>
      </w:r>
      <w:r>
        <w:t xml:space="preserve"> are not appropriate for every context (</w:t>
      </w:r>
      <w:r>
        <w:rPr>
          <w:b/>
        </w:rPr>
        <w:t>see Lesson 10</w:t>
      </w:r>
      <w:r>
        <w:t xml:space="preserve">), but they complement http URIs in important ways for data integrators, especially those that re-publish the data they integrate. For instance, the location independence of CURIEs provides certain advantages: first, it straightforward to toggle between an original external http URI and the corresponding record in the integrator’s database, depending on what a given application page/stack calls for. Secondly, it is rare that only a single http URI exists for an entity; when several source databases differ on which http URI to reference, CURIEs can provide clues that facilitate careful collapsing of equivalent but </w:t>
      </w:r>
      <w:proofErr w:type="gramStart"/>
      <w:r>
        <w:t>differently-represented</w:t>
      </w:r>
      <w:proofErr w:type="gramEnd"/>
      <w:r>
        <w:t xml:space="preserve"> http URIs. Thus if you are a database provider, it is in your best interests to document and preferably register a) the </w:t>
      </w:r>
      <w:r>
        <w:rPr>
          <w:rFonts w:ascii="Consolas" w:eastAsia="Consolas" w:hAnsi="Consolas" w:cs="Consolas"/>
        </w:rPr>
        <w:t>prefix</w:t>
      </w:r>
      <w:r>
        <w:t xml:space="preserve"> (</w:t>
      </w:r>
      <w:r>
        <w:rPr>
          <w:b/>
        </w:rPr>
        <w:t>Box 1</w:t>
      </w:r>
      <w:r>
        <w:t xml:space="preserve">) that you would like others to use and b) its binding to a </w:t>
      </w:r>
      <w:proofErr w:type="spellStart"/>
      <w:r>
        <w:rPr>
          <w:rFonts w:ascii="Consolas" w:eastAsia="Consolas" w:hAnsi="Consolas" w:cs="Consolas"/>
        </w:rPr>
        <w:t>uri</w:t>
      </w:r>
      <w:proofErr w:type="spellEnd"/>
      <w:r>
        <w:rPr>
          <w:rFonts w:ascii="Consolas" w:eastAsia="Consolas" w:hAnsi="Consolas" w:cs="Consolas"/>
        </w:rPr>
        <w:t xml:space="preserve"> pattern</w:t>
      </w:r>
      <w:r>
        <w:t xml:space="preserve"> (</w:t>
      </w:r>
      <w:r>
        <w:rPr>
          <w:b/>
        </w:rPr>
        <w:t>Box 1</w:t>
      </w:r>
      <w:r>
        <w:t xml:space="preserve">). Your chosen prefix should be unique, at least among datasets that are likely to be used in the same context. </w:t>
      </w:r>
      <w:r>
        <w:rPr>
          <w:b/>
        </w:rPr>
        <w:t>Table S3</w:t>
      </w:r>
      <w:r>
        <w:t xml:space="preserve"> contains a list of registries that may be suitable depending on the kind of data. </w:t>
      </w:r>
      <w:proofErr w:type="spellStart"/>
      <w:r>
        <w:t>PrefixCommons</w:t>
      </w:r>
      <w:proofErr w:type="spellEnd"/>
      <w:r>
        <w:t xml:space="preserve"> [</w:t>
      </w:r>
      <w:hyperlink r:id="rId33">
        <w:r>
          <w:rPr>
            <w:color w:val="0000FF"/>
            <w:u w:val="single"/>
          </w:rPr>
          <w:t>19</w:t>
        </w:r>
      </w:hyperlink>
      <w:r>
        <w:t xml:space="preserve">] is a platform designed to enable such registries to be better harmonized and utilized and for any given integrator to publish the mappings that they happen to use. </w:t>
      </w:r>
    </w:p>
    <w:p w14:paraId="0BED900E" w14:textId="77777777" w:rsidR="00317BE3" w:rsidRDefault="00317BE3" w:rsidP="00EA2A5C">
      <w:pPr>
        <w:pStyle w:val="normal0"/>
      </w:pPr>
    </w:p>
    <w:p w14:paraId="33BC12D2" w14:textId="77777777" w:rsidR="00317BE3" w:rsidRDefault="00A53922" w:rsidP="00EA2A5C">
      <w:pPr>
        <w:pStyle w:val="normal0"/>
      </w:pPr>
      <w:r>
        <w:rPr>
          <w:b/>
        </w:rPr>
        <w:t>Box 1. Local and Global Identifier Terminology</w:t>
      </w:r>
    </w:p>
    <w:tbl>
      <w:tblPr>
        <w:tblStyle w:val="a0"/>
        <w:tblW w:w="10725" w:type="dxa"/>
        <w:tblInd w:w="-8" w:type="dxa"/>
        <w:tblBorders>
          <w:top w:val="single" w:sz="8" w:space="0" w:color="666666"/>
          <w:left w:val="single" w:sz="8" w:space="0" w:color="666666"/>
          <w:bottom w:val="single" w:sz="8" w:space="0" w:color="666666"/>
          <w:right w:val="single" w:sz="8" w:space="0" w:color="666666"/>
          <w:insideH w:val="single" w:sz="8" w:space="0" w:color="666666"/>
          <w:insideV w:val="single" w:sz="8" w:space="0" w:color="666666"/>
        </w:tblBorders>
        <w:tblLayout w:type="fixed"/>
        <w:tblLook w:val="0000" w:firstRow="0" w:lastRow="0" w:firstColumn="0" w:lastColumn="0" w:noHBand="0" w:noVBand="0"/>
      </w:tblPr>
      <w:tblGrid>
        <w:gridCol w:w="10725"/>
      </w:tblGrid>
      <w:tr w:rsidR="00317BE3" w14:paraId="39ED655F" w14:textId="77777777">
        <w:tc>
          <w:tcPr>
            <w:tcW w:w="10725" w:type="dxa"/>
            <w:tcBorders>
              <w:top w:val="single" w:sz="8" w:space="0" w:color="666666"/>
              <w:left w:val="single" w:sz="8" w:space="0" w:color="666666"/>
              <w:bottom w:val="single" w:sz="8" w:space="0" w:color="666666"/>
              <w:right w:val="single" w:sz="8" w:space="0" w:color="666666"/>
            </w:tcBorders>
            <w:tcMar>
              <w:left w:w="90" w:type="dxa"/>
            </w:tcMar>
          </w:tcPr>
          <w:p w14:paraId="512AE2CC" w14:textId="77777777" w:rsidR="00317BE3" w:rsidRDefault="00A53922" w:rsidP="00EA2A5C">
            <w:pPr>
              <w:pStyle w:val="normal0"/>
              <w:spacing w:after="60"/>
            </w:pPr>
            <w:r>
              <w:rPr>
                <w:sz w:val="20"/>
                <w:szCs w:val="20"/>
              </w:rPr>
              <w:t xml:space="preserve">An </w:t>
            </w:r>
            <w:r>
              <w:rPr>
                <w:rFonts w:ascii="Consolas" w:eastAsia="Consolas" w:hAnsi="Consolas" w:cs="Consolas"/>
                <w:b/>
                <w:sz w:val="20"/>
                <w:szCs w:val="20"/>
              </w:rPr>
              <w:t>identifier</w:t>
            </w:r>
            <w:r>
              <w:rPr>
                <w:sz w:val="20"/>
                <w:szCs w:val="20"/>
              </w:rPr>
              <w:t xml:space="preserve"> is a sequence of characters that identifies an entity. </w:t>
            </w:r>
          </w:p>
          <w:p w14:paraId="754B8426" w14:textId="77777777" w:rsidR="00317BE3" w:rsidRDefault="00A53922" w:rsidP="00EA2A5C">
            <w:pPr>
              <w:pStyle w:val="normal0"/>
              <w:numPr>
                <w:ilvl w:val="0"/>
                <w:numId w:val="3"/>
              </w:numPr>
              <w:ind w:left="465" w:hanging="360"/>
              <w:contextualSpacing/>
              <w:rPr>
                <w:sz w:val="20"/>
                <w:szCs w:val="20"/>
              </w:rPr>
            </w:pPr>
            <w:r>
              <w:rPr>
                <w:rFonts w:ascii="Consolas" w:eastAsia="Consolas" w:hAnsi="Consolas" w:cs="Consolas"/>
                <w:b/>
                <w:sz w:val="20"/>
                <w:szCs w:val="20"/>
              </w:rPr>
              <w:t>Local ID</w:t>
            </w:r>
            <w:r>
              <w:rPr>
                <w:sz w:val="20"/>
                <w:szCs w:val="20"/>
              </w:rPr>
              <w:t xml:space="preserve"> is an identifier that is unique within the scope of a single database. </w:t>
            </w:r>
          </w:p>
          <w:p w14:paraId="6D19900D" w14:textId="77777777" w:rsidR="00317BE3" w:rsidRDefault="00A53922" w:rsidP="00EA2A5C">
            <w:pPr>
              <w:pStyle w:val="normal0"/>
              <w:numPr>
                <w:ilvl w:val="0"/>
                <w:numId w:val="2"/>
              </w:numPr>
              <w:ind w:hanging="360"/>
              <w:contextualSpacing/>
              <w:jc w:val="left"/>
              <w:rPr>
                <w:sz w:val="20"/>
                <w:szCs w:val="20"/>
              </w:rPr>
            </w:pPr>
            <w:r>
              <w:rPr>
                <w:sz w:val="20"/>
                <w:szCs w:val="20"/>
              </w:rPr>
              <w:t xml:space="preserve">Databases and library systems often refer to the </w:t>
            </w:r>
            <w:r>
              <w:rPr>
                <w:rFonts w:ascii="Consolas" w:eastAsia="Consolas" w:hAnsi="Consolas" w:cs="Consolas"/>
                <w:b/>
                <w:sz w:val="20"/>
                <w:szCs w:val="20"/>
              </w:rPr>
              <w:t>Local ID</w:t>
            </w:r>
            <w:r>
              <w:rPr>
                <w:sz w:val="20"/>
                <w:szCs w:val="20"/>
              </w:rPr>
              <w:t xml:space="preserve"> as an ‘</w:t>
            </w:r>
            <w:r>
              <w:rPr>
                <w:rFonts w:ascii="Consolas" w:eastAsia="Consolas" w:hAnsi="Consolas" w:cs="Consolas"/>
                <w:sz w:val="20"/>
                <w:szCs w:val="20"/>
              </w:rPr>
              <w:t>Accession Number</w:t>
            </w:r>
            <w:r>
              <w:rPr>
                <w:sz w:val="20"/>
                <w:szCs w:val="20"/>
              </w:rPr>
              <w:t xml:space="preserve">’. </w:t>
            </w:r>
          </w:p>
          <w:p w14:paraId="08B83272" w14:textId="77777777" w:rsidR="00317BE3" w:rsidRDefault="00A53922" w:rsidP="00EA2A5C">
            <w:pPr>
              <w:pStyle w:val="normal0"/>
              <w:numPr>
                <w:ilvl w:val="0"/>
                <w:numId w:val="2"/>
              </w:numPr>
              <w:ind w:hanging="360"/>
              <w:contextualSpacing/>
              <w:jc w:val="left"/>
              <w:rPr>
                <w:sz w:val="20"/>
                <w:szCs w:val="20"/>
              </w:rPr>
            </w:pPr>
            <w:r>
              <w:rPr>
                <w:rFonts w:ascii="Consolas" w:eastAsia="Consolas" w:hAnsi="Consolas" w:cs="Consolas"/>
                <w:b/>
                <w:sz w:val="20"/>
                <w:szCs w:val="20"/>
              </w:rPr>
              <w:t>Local ID</w:t>
            </w:r>
            <w:r>
              <w:rPr>
                <w:sz w:val="20"/>
                <w:szCs w:val="20"/>
              </w:rPr>
              <w:t xml:space="preserve"> formats vary by provider and may have subparts such as entity type (</w:t>
            </w:r>
            <w:r>
              <w:rPr>
                <w:b/>
                <w:sz w:val="20"/>
                <w:szCs w:val="20"/>
              </w:rPr>
              <w:t>see Lesson 3)</w:t>
            </w:r>
            <w:r>
              <w:rPr>
                <w:sz w:val="20"/>
                <w:szCs w:val="20"/>
              </w:rPr>
              <w:t xml:space="preserve">. A </w:t>
            </w:r>
            <w:r>
              <w:rPr>
                <w:rFonts w:ascii="Consolas" w:eastAsia="Consolas" w:hAnsi="Consolas" w:cs="Consolas"/>
                <w:sz w:val="20"/>
                <w:szCs w:val="20"/>
              </w:rPr>
              <w:t>Local ID</w:t>
            </w:r>
            <w:r>
              <w:rPr>
                <w:sz w:val="20"/>
                <w:szCs w:val="20"/>
              </w:rPr>
              <w:t xml:space="preserve"> may be opaque (e.g. </w:t>
            </w:r>
            <w:r>
              <w:rPr>
                <w:rFonts w:ascii="Consolas" w:eastAsia="Consolas" w:hAnsi="Consolas" w:cs="Consolas"/>
                <w:sz w:val="20"/>
                <w:szCs w:val="20"/>
              </w:rPr>
              <w:t>A0A022YWF9</w:t>
            </w:r>
            <w:r>
              <w:rPr>
                <w:sz w:val="20"/>
                <w:szCs w:val="20"/>
              </w:rPr>
              <w:t xml:space="preserve">) or recognizable (e.g. </w:t>
            </w:r>
            <w:r>
              <w:rPr>
                <w:rFonts w:ascii="Consolas" w:eastAsia="Consolas" w:hAnsi="Consolas" w:cs="Consolas"/>
                <w:sz w:val="20"/>
                <w:szCs w:val="20"/>
              </w:rPr>
              <w:t>ZDB-GENE-980526-388</w:t>
            </w:r>
            <w:r>
              <w:rPr>
                <w:sz w:val="20"/>
                <w:szCs w:val="20"/>
              </w:rPr>
              <w:t>). It may include an embedded prefix (</w:t>
            </w:r>
            <w:r>
              <w:rPr>
                <w:rFonts w:ascii="Consolas" w:eastAsia="Consolas" w:hAnsi="Consolas" w:cs="Consolas"/>
                <w:b/>
                <w:sz w:val="20"/>
                <w:szCs w:val="20"/>
                <w:u w:val="single"/>
              </w:rPr>
              <w:t>ZDB</w:t>
            </w:r>
            <w:r>
              <w:rPr>
                <w:rFonts w:ascii="Consolas" w:eastAsia="Consolas" w:hAnsi="Consolas" w:cs="Consolas"/>
                <w:sz w:val="20"/>
                <w:szCs w:val="20"/>
              </w:rPr>
              <w:t>-GENE-980526-388)</w:t>
            </w:r>
            <w:r>
              <w:rPr>
                <w:sz w:val="20"/>
                <w:szCs w:val="20"/>
              </w:rPr>
              <w:t>, a colon-delimited prefix (MGI</w:t>
            </w:r>
            <w:proofErr w:type="gramStart"/>
            <w:r>
              <w:rPr>
                <w:sz w:val="20"/>
                <w:szCs w:val="20"/>
              </w:rPr>
              <w:t>:80863</w:t>
            </w:r>
            <w:proofErr w:type="gramEnd"/>
            <w:r>
              <w:rPr>
                <w:sz w:val="20"/>
                <w:szCs w:val="20"/>
              </w:rPr>
              <w:t>), or no prefix at all (9606).</w:t>
            </w:r>
          </w:p>
          <w:p w14:paraId="1D73EC4C" w14:textId="77777777" w:rsidR="00317BE3" w:rsidRDefault="00A53922" w:rsidP="00EA2A5C">
            <w:pPr>
              <w:pStyle w:val="normal0"/>
              <w:numPr>
                <w:ilvl w:val="0"/>
                <w:numId w:val="3"/>
              </w:numPr>
              <w:ind w:left="465" w:hanging="360"/>
              <w:contextualSpacing/>
              <w:rPr>
                <w:sz w:val="20"/>
                <w:szCs w:val="20"/>
              </w:rPr>
            </w:pPr>
            <w:r>
              <w:rPr>
                <w:rFonts w:ascii="Consolas" w:eastAsia="Consolas" w:hAnsi="Consolas" w:cs="Consolas"/>
                <w:b/>
                <w:sz w:val="20"/>
                <w:szCs w:val="20"/>
              </w:rPr>
              <w:t>Global identifier</w:t>
            </w:r>
            <w:r>
              <w:rPr>
                <w:b/>
                <w:sz w:val="20"/>
                <w:szCs w:val="20"/>
              </w:rPr>
              <w:t xml:space="preserve"> </w:t>
            </w:r>
            <w:r>
              <w:rPr>
                <w:sz w:val="20"/>
                <w:szCs w:val="20"/>
              </w:rPr>
              <w:t xml:space="preserve">is an </w:t>
            </w:r>
            <w:r>
              <w:rPr>
                <w:rFonts w:ascii="Consolas" w:eastAsia="Consolas" w:hAnsi="Consolas" w:cs="Consolas"/>
                <w:b/>
                <w:sz w:val="20"/>
                <w:szCs w:val="20"/>
              </w:rPr>
              <w:t>identifier</w:t>
            </w:r>
            <w:r>
              <w:rPr>
                <w:sz w:val="20"/>
                <w:szCs w:val="20"/>
              </w:rPr>
              <w:t xml:space="preserve"> that is guaranteed to be globally unique</w:t>
            </w:r>
          </w:p>
          <w:p w14:paraId="033CF1E2" w14:textId="77777777" w:rsidR="00317BE3" w:rsidRDefault="00A53922" w:rsidP="00EA2A5C">
            <w:pPr>
              <w:pStyle w:val="normal0"/>
              <w:numPr>
                <w:ilvl w:val="0"/>
                <w:numId w:val="2"/>
              </w:numPr>
              <w:ind w:hanging="360"/>
              <w:contextualSpacing/>
              <w:jc w:val="left"/>
              <w:rPr>
                <w:sz w:val="20"/>
                <w:szCs w:val="20"/>
              </w:rPr>
            </w:pPr>
            <w:r>
              <w:rPr>
                <w:rFonts w:ascii="Consolas" w:eastAsia="Consolas" w:hAnsi="Consolas" w:cs="Consolas"/>
                <w:b/>
                <w:sz w:val="20"/>
                <w:szCs w:val="20"/>
              </w:rPr>
              <w:t>Uniform Resource</w:t>
            </w:r>
            <w:r>
              <w:rPr>
                <w:sz w:val="20"/>
                <w:szCs w:val="20"/>
              </w:rPr>
              <w:t xml:space="preserve"> </w:t>
            </w:r>
            <w:r>
              <w:rPr>
                <w:rFonts w:ascii="Consolas" w:eastAsia="Consolas" w:hAnsi="Consolas" w:cs="Consolas"/>
                <w:b/>
                <w:sz w:val="20"/>
                <w:szCs w:val="20"/>
              </w:rPr>
              <w:t>Identifier (URI)</w:t>
            </w:r>
            <w:r>
              <w:rPr>
                <w:sz w:val="20"/>
                <w:szCs w:val="20"/>
              </w:rPr>
              <w:t xml:space="preserve"> is an identifier that is uniform; it is an ASCII string that uniquely identifies an individual web </w:t>
            </w:r>
            <w:proofErr w:type="gramStart"/>
            <w:r>
              <w:rPr>
                <w:sz w:val="20"/>
                <w:szCs w:val="20"/>
              </w:rPr>
              <w:t>resource[</w:t>
            </w:r>
            <w:proofErr w:type="gramEnd"/>
            <w:r>
              <w:fldChar w:fldCharType="begin"/>
            </w:r>
            <w:r>
              <w:instrText xml:space="preserve"> HYPERLINK "https://www.w3.org/Addressing/URL/uri-spec.html" \h </w:instrText>
            </w:r>
            <w:r>
              <w:fldChar w:fldCharType="separate"/>
            </w:r>
            <w:r>
              <w:rPr>
                <w:sz w:val="20"/>
                <w:szCs w:val="20"/>
                <w:u w:val="single"/>
              </w:rPr>
              <w:t>20</w:t>
            </w:r>
            <w:r>
              <w:rPr>
                <w:sz w:val="20"/>
                <w:szCs w:val="20"/>
                <w:u w:val="single"/>
              </w:rPr>
              <w:fldChar w:fldCharType="end"/>
            </w:r>
            <w:r>
              <w:rPr>
                <w:sz w:val="20"/>
                <w:szCs w:val="20"/>
              </w:rPr>
              <w:t xml:space="preserve">]. For simplicity in this paper, by </w:t>
            </w:r>
            <w:r>
              <w:rPr>
                <w:rFonts w:ascii="Consolas" w:eastAsia="Consolas" w:hAnsi="Consolas" w:cs="Consolas"/>
                <w:sz w:val="20"/>
                <w:szCs w:val="20"/>
              </w:rPr>
              <w:t>URI</w:t>
            </w:r>
            <w:r>
              <w:rPr>
                <w:sz w:val="20"/>
                <w:szCs w:val="20"/>
              </w:rPr>
              <w:t xml:space="preserve"> we mean only those global </w:t>
            </w:r>
            <w:r>
              <w:rPr>
                <w:rFonts w:ascii="Consolas" w:eastAsia="Consolas" w:hAnsi="Consolas" w:cs="Consolas"/>
                <w:sz w:val="20"/>
                <w:szCs w:val="20"/>
              </w:rPr>
              <w:t>URIs</w:t>
            </w:r>
            <w:r>
              <w:rPr>
                <w:sz w:val="20"/>
                <w:szCs w:val="20"/>
              </w:rPr>
              <w:t xml:space="preserve"> a) of type </w:t>
            </w:r>
            <w:r>
              <w:rPr>
                <w:rFonts w:ascii="Consolas" w:eastAsia="Consolas" w:hAnsi="Consolas" w:cs="Consolas"/>
                <w:sz w:val="20"/>
                <w:szCs w:val="20"/>
              </w:rPr>
              <w:t xml:space="preserve">HTTP, HTTPS, </w:t>
            </w:r>
            <w:r>
              <w:rPr>
                <w:sz w:val="20"/>
                <w:szCs w:val="20"/>
              </w:rPr>
              <w:t>etc. b) that are designed to persistently resolve to (provide or redirect to) a webpage containing information about the identified entity. An example of a URI is</w:t>
            </w:r>
            <w:r>
              <w:rPr>
                <w:rFonts w:ascii="Consolas" w:eastAsia="Consolas" w:hAnsi="Consolas" w:cs="Consolas"/>
                <w:sz w:val="20"/>
                <w:szCs w:val="20"/>
              </w:rPr>
              <w:t xml:space="preserve"> </w:t>
            </w:r>
            <w:hyperlink r:id="rId34">
              <w:r>
                <w:rPr>
                  <w:rFonts w:ascii="Consolas" w:eastAsia="Consolas" w:hAnsi="Consolas" w:cs="Consolas"/>
                  <w:color w:val="1155CC"/>
                  <w:sz w:val="20"/>
                  <w:szCs w:val="20"/>
                  <w:u w:val="single"/>
                </w:rPr>
                <w:t>http://</w:t>
              </w:r>
            </w:hyperlink>
            <w:hyperlink r:id="rId35">
              <w:r>
                <w:rPr>
                  <w:rFonts w:ascii="Consolas" w:eastAsia="Consolas" w:hAnsi="Consolas" w:cs="Consolas"/>
                  <w:color w:val="1155CC"/>
                  <w:sz w:val="20"/>
                  <w:szCs w:val="20"/>
                  <w:u w:val="single"/>
                </w:rPr>
                <w:t>purl.uniprot</w:t>
              </w:r>
            </w:hyperlink>
            <w:hyperlink r:id="rId36">
              <w:r>
                <w:rPr>
                  <w:rFonts w:ascii="Consolas" w:eastAsia="Consolas" w:hAnsi="Consolas" w:cs="Consolas"/>
                  <w:color w:val="1155CC"/>
                  <w:sz w:val="20"/>
                  <w:szCs w:val="20"/>
                  <w:u w:val="single"/>
                </w:rPr>
                <w:t>.org/uniprot/</w:t>
              </w:r>
            </w:hyperlink>
            <w:hyperlink r:id="rId37">
              <w:r>
                <w:rPr>
                  <w:rFonts w:ascii="Consolas" w:eastAsia="Consolas" w:hAnsi="Consolas" w:cs="Consolas"/>
                  <w:color w:val="1155CC"/>
                  <w:sz w:val="20"/>
                  <w:szCs w:val="20"/>
                  <w:u w:val="single"/>
                </w:rPr>
                <w:t>A0A022YWF9</w:t>
              </w:r>
            </w:hyperlink>
            <w:r>
              <w:rPr>
                <w:sz w:val="20"/>
                <w:szCs w:val="20"/>
              </w:rPr>
              <w:t xml:space="preserve">. </w:t>
            </w:r>
          </w:p>
          <w:p w14:paraId="54182F83" w14:textId="77777777" w:rsidR="00317BE3" w:rsidRDefault="00A53922" w:rsidP="00EA2A5C">
            <w:pPr>
              <w:pStyle w:val="normal0"/>
              <w:numPr>
                <w:ilvl w:val="0"/>
                <w:numId w:val="2"/>
              </w:numPr>
              <w:ind w:hanging="360"/>
              <w:contextualSpacing/>
              <w:jc w:val="left"/>
              <w:rPr>
                <w:sz w:val="20"/>
                <w:szCs w:val="20"/>
              </w:rPr>
            </w:pPr>
            <w:r>
              <w:rPr>
                <w:sz w:val="20"/>
                <w:szCs w:val="20"/>
              </w:rPr>
              <w:t xml:space="preserve">When referring to </w:t>
            </w:r>
            <w:r>
              <w:rPr>
                <w:rFonts w:ascii="Consolas" w:eastAsia="Consolas" w:hAnsi="Consolas" w:cs="Consolas"/>
                <w:b/>
                <w:sz w:val="20"/>
                <w:szCs w:val="20"/>
              </w:rPr>
              <w:t>compact URIs (CURIES)</w:t>
            </w:r>
            <w:r>
              <w:rPr>
                <w:sz w:val="20"/>
                <w:szCs w:val="20"/>
              </w:rPr>
              <w:t>, we mean an identifier comprised of &lt;</w:t>
            </w:r>
            <w:r>
              <w:rPr>
                <w:rFonts w:ascii="Consolas" w:eastAsia="Consolas" w:hAnsi="Consolas" w:cs="Consolas"/>
                <w:b/>
                <w:sz w:val="20"/>
                <w:szCs w:val="20"/>
              </w:rPr>
              <w:t>Prefix&gt;</w:t>
            </w:r>
            <w:proofErr w:type="gramStart"/>
            <w:r>
              <w:rPr>
                <w:rFonts w:ascii="Consolas" w:eastAsia="Consolas" w:hAnsi="Consolas" w:cs="Consolas"/>
                <w:sz w:val="20"/>
                <w:szCs w:val="20"/>
              </w:rPr>
              <w:t>:&lt;</w:t>
            </w:r>
            <w:proofErr w:type="gramEnd"/>
            <w:r>
              <w:rPr>
                <w:rFonts w:ascii="Consolas" w:eastAsia="Consolas" w:hAnsi="Consolas" w:cs="Consolas"/>
                <w:b/>
                <w:sz w:val="20"/>
                <w:szCs w:val="20"/>
              </w:rPr>
              <w:t>Local ID&gt;</w:t>
            </w:r>
            <w:r>
              <w:rPr>
                <w:sz w:val="20"/>
                <w:szCs w:val="20"/>
              </w:rPr>
              <w:t xml:space="preserve"> wherein </w:t>
            </w:r>
            <w:r>
              <w:rPr>
                <w:rFonts w:ascii="Consolas" w:eastAsia="Consolas" w:hAnsi="Consolas" w:cs="Consolas"/>
                <w:b/>
                <w:sz w:val="20"/>
                <w:szCs w:val="20"/>
              </w:rPr>
              <w:t>prefix</w:t>
            </w:r>
            <w:r>
              <w:rPr>
                <w:sz w:val="20"/>
                <w:szCs w:val="20"/>
              </w:rPr>
              <w:t xml:space="preserve"> is deterministically expandable to </w:t>
            </w:r>
            <w:r>
              <w:rPr>
                <w:rFonts w:ascii="Consolas" w:eastAsia="Consolas" w:hAnsi="Consolas" w:cs="Consolas"/>
                <w:b/>
                <w:sz w:val="20"/>
                <w:szCs w:val="20"/>
              </w:rPr>
              <w:t>a URI pattern</w:t>
            </w:r>
            <w:r>
              <w:rPr>
                <w:sz w:val="20"/>
                <w:szCs w:val="20"/>
              </w:rPr>
              <w:t xml:space="preserve"> (see below) which </w:t>
            </w:r>
            <w:r>
              <w:rPr>
                <w:i/>
                <w:sz w:val="20"/>
                <w:szCs w:val="20"/>
              </w:rPr>
              <w:t>alone</w:t>
            </w:r>
            <w:r>
              <w:rPr>
                <w:sz w:val="20"/>
                <w:szCs w:val="20"/>
              </w:rPr>
              <w:t xml:space="preserve"> is the basis for the CURIE’s global uniqueness. An example of a CURIE is </w:t>
            </w:r>
            <w:r>
              <w:rPr>
                <w:rFonts w:ascii="Consolas" w:eastAsia="Consolas" w:hAnsi="Consolas" w:cs="Consolas"/>
                <w:sz w:val="20"/>
                <w:szCs w:val="20"/>
              </w:rPr>
              <w:t>UniProtKB</w:t>
            </w:r>
            <w:proofErr w:type="gramStart"/>
            <w:r>
              <w:rPr>
                <w:sz w:val="20"/>
                <w:szCs w:val="20"/>
              </w:rPr>
              <w:t>:</w:t>
            </w:r>
            <w:r>
              <w:rPr>
                <w:rFonts w:ascii="Consolas" w:eastAsia="Consolas" w:hAnsi="Consolas" w:cs="Consolas"/>
                <w:sz w:val="20"/>
                <w:szCs w:val="20"/>
              </w:rPr>
              <w:t>A0A022YWF9</w:t>
            </w:r>
            <w:proofErr w:type="gramEnd"/>
          </w:p>
          <w:p w14:paraId="3EE38836" w14:textId="77777777" w:rsidR="00317BE3" w:rsidRDefault="00A53922" w:rsidP="00EA2A5C">
            <w:pPr>
              <w:pStyle w:val="normal0"/>
              <w:numPr>
                <w:ilvl w:val="0"/>
                <w:numId w:val="3"/>
              </w:numPr>
              <w:ind w:left="465" w:hanging="360"/>
              <w:contextualSpacing/>
              <w:rPr>
                <w:sz w:val="20"/>
                <w:szCs w:val="20"/>
              </w:rPr>
            </w:pPr>
            <w:r>
              <w:rPr>
                <w:sz w:val="20"/>
                <w:szCs w:val="20"/>
              </w:rPr>
              <w:t xml:space="preserve">A </w:t>
            </w:r>
            <w:r>
              <w:rPr>
                <w:rFonts w:ascii="Consolas" w:eastAsia="Consolas" w:hAnsi="Consolas" w:cs="Consolas"/>
                <w:b/>
                <w:sz w:val="20"/>
                <w:szCs w:val="20"/>
              </w:rPr>
              <w:t xml:space="preserve">URI pattern </w:t>
            </w:r>
            <w:r>
              <w:rPr>
                <w:sz w:val="20"/>
                <w:szCs w:val="20"/>
              </w:rPr>
              <w:t>is</w:t>
            </w:r>
            <w:r>
              <w:rPr>
                <w:b/>
                <w:sz w:val="20"/>
                <w:szCs w:val="20"/>
              </w:rPr>
              <w:t xml:space="preserve"> </w:t>
            </w:r>
            <w:r>
              <w:rPr>
                <w:sz w:val="20"/>
                <w:szCs w:val="20"/>
              </w:rPr>
              <w:t>a fixed sequence of characters that can be used to resolve a database’s</w:t>
            </w:r>
            <w:r>
              <w:rPr>
                <w:rFonts w:ascii="Consolas" w:eastAsia="Consolas" w:hAnsi="Consolas" w:cs="Consolas"/>
                <w:sz w:val="20"/>
                <w:szCs w:val="20"/>
              </w:rPr>
              <w:t xml:space="preserve"> local IDs.</w:t>
            </w:r>
            <w:r>
              <w:rPr>
                <w:sz w:val="20"/>
                <w:szCs w:val="20"/>
              </w:rPr>
              <w:t xml:space="preserve"> In this paper, we mean “URI pattern” to mean the simplest scenario wherein the pattern can be prepended to the </w:t>
            </w:r>
            <w:r>
              <w:rPr>
                <w:rFonts w:ascii="Consolas" w:eastAsia="Consolas" w:hAnsi="Consolas" w:cs="Consolas"/>
                <w:sz w:val="20"/>
                <w:szCs w:val="20"/>
              </w:rPr>
              <w:t>local ID</w:t>
            </w:r>
            <w:r>
              <w:rPr>
                <w:sz w:val="20"/>
                <w:szCs w:val="20"/>
              </w:rPr>
              <w:t xml:space="preserve"> (or to the part of the </w:t>
            </w:r>
            <w:r>
              <w:rPr>
                <w:rFonts w:ascii="Consolas" w:eastAsia="Consolas" w:hAnsi="Consolas" w:cs="Consolas"/>
                <w:sz w:val="20"/>
                <w:szCs w:val="20"/>
              </w:rPr>
              <w:t>CURIE</w:t>
            </w:r>
            <w:r>
              <w:rPr>
                <w:sz w:val="20"/>
                <w:szCs w:val="20"/>
              </w:rPr>
              <w:t xml:space="preserve"> that follows the colon, if different)</w:t>
            </w:r>
            <w:r>
              <w:rPr>
                <w:b/>
                <w:sz w:val="20"/>
                <w:szCs w:val="20"/>
              </w:rPr>
              <w:t>.</w:t>
            </w:r>
            <w:r>
              <w:rPr>
                <w:rFonts w:ascii="Consolas" w:eastAsia="Consolas" w:hAnsi="Consolas" w:cs="Consolas"/>
                <w:b/>
                <w:sz w:val="20"/>
                <w:szCs w:val="20"/>
              </w:rPr>
              <w:t xml:space="preserve"> </w:t>
            </w:r>
            <w:r>
              <w:rPr>
                <w:sz w:val="20"/>
                <w:szCs w:val="20"/>
              </w:rPr>
              <w:t xml:space="preserve">In the ZFIN example above, the </w:t>
            </w:r>
            <w:r>
              <w:rPr>
                <w:rFonts w:ascii="Consolas" w:eastAsia="Consolas" w:hAnsi="Consolas" w:cs="Consolas"/>
                <w:b/>
                <w:sz w:val="20"/>
                <w:szCs w:val="20"/>
              </w:rPr>
              <w:t>prefix</w:t>
            </w:r>
            <w:r>
              <w:rPr>
                <w:sz w:val="20"/>
                <w:szCs w:val="20"/>
              </w:rPr>
              <w:t xml:space="preserve"> is </w:t>
            </w:r>
            <w:r>
              <w:rPr>
                <w:rFonts w:ascii="Consolas" w:eastAsia="Consolas" w:hAnsi="Consolas" w:cs="Consolas"/>
                <w:sz w:val="20"/>
                <w:szCs w:val="20"/>
              </w:rPr>
              <w:t>ZFIN</w:t>
            </w:r>
            <w:r>
              <w:rPr>
                <w:sz w:val="20"/>
                <w:szCs w:val="20"/>
              </w:rPr>
              <w:t xml:space="preserve">, the </w:t>
            </w:r>
            <w:r>
              <w:rPr>
                <w:rFonts w:ascii="Consolas" w:eastAsia="Consolas" w:hAnsi="Consolas" w:cs="Consolas"/>
                <w:b/>
                <w:sz w:val="20"/>
                <w:szCs w:val="20"/>
              </w:rPr>
              <w:t>URI pattern</w:t>
            </w:r>
            <w:r>
              <w:rPr>
                <w:sz w:val="20"/>
                <w:szCs w:val="20"/>
              </w:rPr>
              <w:t xml:space="preserve"> is </w:t>
            </w:r>
            <w:hyperlink r:id="rId38">
              <w:r>
                <w:rPr>
                  <w:rFonts w:ascii="Consolas" w:eastAsia="Consolas" w:hAnsi="Consolas" w:cs="Consolas"/>
                  <w:color w:val="1155CC"/>
                  <w:sz w:val="20"/>
                  <w:szCs w:val="20"/>
                  <w:u w:val="single"/>
                </w:rPr>
                <w:t xml:space="preserve">http://zfin.org/, </w:t>
              </w:r>
            </w:hyperlink>
            <w:r>
              <w:rPr>
                <w:sz w:val="20"/>
                <w:szCs w:val="20"/>
              </w:rPr>
              <w:t xml:space="preserve">and the CURIE would be </w:t>
            </w:r>
            <w:r>
              <w:rPr>
                <w:rFonts w:ascii="Consolas" w:eastAsia="Consolas" w:hAnsi="Consolas" w:cs="Consolas"/>
                <w:sz w:val="20"/>
                <w:szCs w:val="20"/>
              </w:rPr>
              <w:t>ZFIN</w:t>
            </w:r>
            <w:proofErr w:type="gramStart"/>
            <w:r>
              <w:rPr>
                <w:rFonts w:ascii="Consolas" w:eastAsia="Consolas" w:hAnsi="Consolas" w:cs="Consolas"/>
                <w:sz w:val="20"/>
                <w:szCs w:val="20"/>
              </w:rPr>
              <w:t>:ZDB</w:t>
            </w:r>
            <w:proofErr w:type="gramEnd"/>
            <w:r>
              <w:rPr>
                <w:rFonts w:ascii="Consolas" w:eastAsia="Consolas" w:hAnsi="Consolas" w:cs="Consolas"/>
                <w:sz w:val="20"/>
                <w:szCs w:val="20"/>
              </w:rPr>
              <w:t>-GENE-980526-388</w:t>
            </w:r>
            <w:r>
              <w:rPr>
                <w:sz w:val="20"/>
                <w:szCs w:val="20"/>
              </w:rPr>
              <w:t xml:space="preserve">. When expanded to a full URI, the result would be: </w:t>
            </w:r>
            <w:hyperlink r:id="rId39">
              <w:r>
                <w:rPr>
                  <w:rFonts w:ascii="Consolas" w:eastAsia="Consolas" w:hAnsi="Consolas" w:cs="Consolas"/>
                  <w:color w:val="1155CC"/>
                  <w:sz w:val="20"/>
                  <w:szCs w:val="20"/>
                  <w:u w:val="single"/>
                </w:rPr>
                <w:t>http://zfin.org/ZDB-GENE-980526-388</w:t>
              </w:r>
            </w:hyperlink>
            <w:r>
              <w:rPr>
                <w:sz w:val="20"/>
                <w:szCs w:val="20"/>
              </w:rPr>
              <w:t xml:space="preserve">. </w:t>
            </w:r>
            <w:r>
              <w:rPr>
                <w:rFonts w:ascii="Consolas" w:eastAsia="Consolas" w:hAnsi="Consolas" w:cs="Consolas"/>
                <w:sz w:val="20"/>
                <w:szCs w:val="20"/>
              </w:rPr>
              <w:t>URI patterns</w:t>
            </w:r>
            <w:r>
              <w:rPr>
                <w:sz w:val="20"/>
                <w:szCs w:val="20"/>
              </w:rPr>
              <w:t xml:space="preserve"> vary considerably; see also </w:t>
            </w:r>
            <w:r>
              <w:rPr>
                <w:b/>
                <w:sz w:val="20"/>
                <w:szCs w:val="20"/>
              </w:rPr>
              <w:t>Fig 2</w:t>
            </w:r>
            <w:r>
              <w:rPr>
                <w:sz w:val="20"/>
                <w:szCs w:val="20"/>
              </w:rPr>
              <w:t xml:space="preserve"> and glossary (</w:t>
            </w:r>
            <w:r>
              <w:rPr>
                <w:b/>
                <w:sz w:val="20"/>
                <w:szCs w:val="20"/>
              </w:rPr>
              <w:t>Table S2</w:t>
            </w:r>
            <w:r>
              <w:rPr>
                <w:sz w:val="20"/>
                <w:szCs w:val="20"/>
              </w:rPr>
              <w:t>) for additional terms and concepts.</w:t>
            </w:r>
          </w:p>
        </w:tc>
      </w:tr>
    </w:tbl>
    <w:p w14:paraId="6356BA9C" w14:textId="77777777" w:rsidR="00317BE3" w:rsidRDefault="00317BE3" w:rsidP="00EA2A5C">
      <w:pPr>
        <w:pStyle w:val="normal0"/>
      </w:pPr>
    </w:p>
    <w:p w14:paraId="29883320" w14:textId="05DBBB89" w:rsidR="00317BE3" w:rsidRDefault="00EA2A5C" w:rsidP="006036A7">
      <w:bookmarkStart w:id="6" w:name="_3dy6vkm" w:colFirst="0" w:colLast="0"/>
      <w:bookmarkEnd w:id="6"/>
      <w:r>
        <w:rPr>
          <w:b/>
        </w:rPr>
        <w:br w:type="page"/>
      </w:r>
      <w:r w:rsidR="00A53922">
        <w:rPr>
          <w:b/>
        </w:rPr>
        <w:lastRenderedPageBreak/>
        <w:t>Table 2. Desirable characteristics for database identifiers in the life sciences</w:t>
      </w:r>
    </w:p>
    <w:tbl>
      <w:tblPr>
        <w:tblStyle w:val="a1"/>
        <w:tblW w:w="10695" w:type="dxa"/>
        <w:tblInd w:w="13" w:type="dxa"/>
        <w:tblBorders>
          <w:top w:val="single" w:sz="4" w:space="0" w:color="000000"/>
          <w:left w:val="single" w:sz="4" w:space="0" w:color="000000"/>
          <w:bottom w:val="single" w:sz="4" w:space="0" w:color="000000"/>
          <w:right w:val="single" w:sz="4" w:space="0" w:color="000000"/>
        </w:tblBorders>
        <w:tblLayout w:type="fixed"/>
        <w:tblCellMar>
          <w:top w:w="14" w:type="dxa"/>
          <w:left w:w="58" w:type="dxa"/>
          <w:bottom w:w="14" w:type="dxa"/>
          <w:right w:w="58" w:type="dxa"/>
        </w:tblCellMar>
        <w:tblLook w:val="0000" w:firstRow="0" w:lastRow="0" w:firstColumn="0" w:lastColumn="0" w:noHBand="0" w:noVBand="0"/>
      </w:tblPr>
      <w:tblGrid>
        <w:gridCol w:w="1650"/>
        <w:gridCol w:w="4320"/>
        <w:gridCol w:w="4725"/>
      </w:tblGrid>
      <w:tr w:rsidR="00317BE3" w14:paraId="6F4005C6" w14:textId="77777777" w:rsidTr="00954BC9">
        <w:tc>
          <w:tcPr>
            <w:tcW w:w="1650" w:type="dxa"/>
            <w:tcBorders>
              <w:bottom w:val="single" w:sz="4" w:space="0" w:color="000000"/>
              <w:right w:val="single" w:sz="4" w:space="0" w:color="000000"/>
            </w:tcBorders>
            <w:tcMar>
              <w:left w:w="43" w:type="dxa"/>
            </w:tcMar>
          </w:tcPr>
          <w:p w14:paraId="691E2DE3" w14:textId="77777777" w:rsidR="00317BE3" w:rsidRDefault="00A53922" w:rsidP="00EA2A5C">
            <w:pPr>
              <w:pStyle w:val="normal0"/>
              <w:widowControl w:val="0"/>
              <w:jc w:val="left"/>
            </w:pPr>
            <w:r>
              <w:rPr>
                <w:b/>
                <w:sz w:val="20"/>
                <w:szCs w:val="20"/>
              </w:rPr>
              <w:t>Characteristics</w:t>
            </w:r>
          </w:p>
        </w:tc>
        <w:tc>
          <w:tcPr>
            <w:tcW w:w="4320" w:type="dxa"/>
            <w:tcBorders>
              <w:top w:val="single" w:sz="4" w:space="0" w:color="000000"/>
              <w:left w:val="single" w:sz="4" w:space="0" w:color="000000"/>
              <w:bottom w:val="single" w:sz="4" w:space="0" w:color="000000"/>
              <w:right w:val="single" w:sz="4" w:space="0" w:color="000000"/>
            </w:tcBorders>
            <w:tcMar>
              <w:left w:w="43" w:type="dxa"/>
            </w:tcMar>
          </w:tcPr>
          <w:p w14:paraId="45D34072" w14:textId="77777777" w:rsidR="00317BE3" w:rsidRDefault="00A53922" w:rsidP="00EA2A5C">
            <w:pPr>
              <w:pStyle w:val="normal0"/>
              <w:widowControl w:val="0"/>
              <w:jc w:val="left"/>
            </w:pPr>
            <w:r>
              <w:rPr>
                <w:b/>
                <w:sz w:val="20"/>
                <w:szCs w:val="20"/>
              </w:rPr>
              <w:t>Definition</w:t>
            </w:r>
          </w:p>
        </w:tc>
        <w:tc>
          <w:tcPr>
            <w:tcW w:w="4725" w:type="dxa"/>
            <w:tcBorders>
              <w:left w:val="single" w:sz="4" w:space="0" w:color="000000"/>
              <w:bottom w:val="single" w:sz="4" w:space="0" w:color="000000"/>
            </w:tcBorders>
            <w:tcMar>
              <w:left w:w="43" w:type="dxa"/>
            </w:tcMar>
          </w:tcPr>
          <w:p w14:paraId="545C2D3B" w14:textId="77777777" w:rsidR="00317BE3" w:rsidRDefault="00A53922" w:rsidP="00EA2A5C">
            <w:pPr>
              <w:pStyle w:val="normal0"/>
              <w:widowControl w:val="0"/>
              <w:jc w:val="left"/>
            </w:pPr>
            <w:r>
              <w:rPr>
                <w:b/>
                <w:sz w:val="20"/>
                <w:szCs w:val="20"/>
              </w:rPr>
              <w:t>Rationale/impact on data integration</w:t>
            </w:r>
          </w:p>
        </w:tc>
      </w:tr>
      <w:tr w:rsidR="00317BE3" w14:paraId="0259357E" w14:textId="77777777" w:rsidTr="00954BC9">
        <w:tc>
          <w:tcPr>
            <w:tcW w:w="1650" w:type="dxa"/>
            <w:tcBorders>
              <w:top w:val="single" w:sz="4" w:space="0" w:color="000000"/>
              <w:bottom w:val="single" w:sz="4" w:space="0" w:color="000000"/>
              <w:right w:val="single" w:sz="4" w:space="0" w:color="000000"/>
            </w:tcBorders>
            <w:tcMar>
              <w:left w:w="43" w:type="dxa"/>
            </w:tcMar>
          </w:tcPr>
          <w:p w14:paraId="062A78DD" w14:textId="77777777" w:rsidR="00317BE3" w:rsidRDefault="00A53922" w:rsidP="00EA2A5C">
            <w:pPr>
              <w:pStyle w:val="normal0"/>
              <w:widowControl w:val="0"/>
              <w:jc w:val="left"/>
            </w:pPr>
            <w:r>
              <w:rPr>
                <w:sz w:val="20"/>
                <w:szCs w:val="20"/>
              </w:rPr>
              <w:t>Unambiguous</w:t>
            </w:r>
          </w:p>
        </w:tc>
        <w:tc>
          <w:tcPr>
            <w:tcW w:w="4320" w:type="dxa"/>
            <w:tcBorders>
              <w:top w:val="single" w:sz="4" w:space="0" w:color="000000"/>
              <w:left w:val="single" w:sz="4" w:space="0" w:color="000000"/>
              <w:bottom w:val="single" w:sz="4" w:space="0" w:color="000000"/>
              <w:right w:val="single" w:sz="4" w:space="0" w:color="000000"/>
            </w:tcBorders>
            <w:tcMar>
              <w:left w:w="43" w:type="dxa"/>
            </w:tcMar>
          </w:tcPr>
          <w:p w14:paraId="266B7A8C" w14:textId="77777777" w:rsidR="00317BE3" w:rsidRDefault="00A53922" w:rsidP="00EA2A5C">
            <w:pPr>
              <w:pStyle w:val="normal0"/>
              <w:widowControl w:val="0"/>
              <w:jc w:val="left"/>
            </w:pPr>
            <w:r>
              <w:rPr>
                <w:sz w:val="20"/>
                <w:szCs w:val="20"/>
              </w:rPr>
              <w:t xml:space="preserve">One </w:t>
            </w:r>
            <w:r>
              <w:rPr>
                <w:rFonts w:ascii="Consolas" w:eastAsia="Consolas" w:hAnsi="Consolas" w:cs="Consolas"/>
                <w:b/>
                <w:sz w:val="20"/>
                <w:szCs w:val="20"/>
              </w:rPr>
              <w:t>Local ID</w:t>
            </w:r>
            <w:r>
              <w:rPr>
                <w:sz w:val="20"/>
                <w:szCs w:val="20"/>
              </w:rPr>
              <w:t xml:space="preserve"> must be associated to no more than one entity </w:t>
            </w:r>
            <w:r>
              <w:rPr>
                <w:i/>
                <w:sz w:val="20"/>
                <w:szCs w:val="20"/>
              </w:rPr>
              <w:t xml:space="preserve">locally. </w:t>
            </w:r>
            <w:r>
              <w:rPr>
                <w:sz w:val="20"/>
                <w:szCs w:val="20"/>
              </w:rPr>
              <w:t xml:space="preserve">One </w:t>
            </w:r>
            <w:r>
              <w:rPr>
                <w:rFonts w:ascii="Consolas" w:eastAsia="Consolas" w:hAnsi="Consolas" w:cs="Consolas"/>
                <w:sz w:val="20"/>
                <w:szCs w:val="20"/>
              </w:rPr>
              <w:t>URI</w:t>
            </w:r>
            <w:r>
              <w:rPr>
                <w:sz w:val="20"/>
                <w:szCs w:val="20"/>
              </w:rPr>
              <w:t xml:space="preserve"> must be associated to no more than one entity </w:t>
            </w:r>
            <w:r>
              <w:rPr>
                <w:i/>
                <w:sz w:val="20"/>
                <w:szCs w:val="20"/>
              </w:rPr>
              <w:t>globally</w:t>
            </w:r>
          </w:p>
        </w:tc>
        <w:tc>
          <w:tcPr>
            <w:tcW w:w="4725" w:type="dxa"/>
            <w:tcBorders>
              <w:top w:val="single" w:sz="4" w:space="0" w:color="000000"/>
              <w:left w:val="single" w:sz="4" w:space="0" w:color="000000"/>
              <w:bottom w:val="single" w:sz="4" w:space="0" w:color="000000"/>
            </w:tcBorders>
            <w:tcMar>
              <w:left w:w="43" w:type="dxa"/>
            </w:tcMar>
          </w:tcPr>
          <w:p w14:paraId="0449128C" w14:textId="77777777" w:rsidR="00317BE3" w:rsidRDefault="00A53922" w:rsidP="00EA2A5C">
            <w:pPr>
              <w:pStyle w:val="normal0"/>
              <w:widowControl w:val="0"/>
              <w:jc w:val="left"/>
            </w:pPr>
            <w:r>
              <w:rPr>
                <w:sz w:val="20"/>
                <w:szCs w:val="20"/>
              </w:rPr>
              <w:t>Avoids collisions that result in integrating on the wrong entity</w:t>
            </w:r>
          </w:p>
        </w:tc>
      </w:tr>
      <w:tr w:rsidR="00317BE3" w14:paraId="2F0B529D" w14:textId="77777777" w:rsidTr="00954BC9">
        <w:tc>
          <w:tcPr>
            <w:tcW w:w="1650" w:type="dxa"/>
            <w:tcBorders>
              <w:top w:val="single" w:sz="4" w:space="0" w:color="000000"/>
              <w:bottom w:val="single" w:sz="4" w:space="0" w:color="000000"/>
              <w:right w:val="single" w:sz="4" w:space="0" w:color="000000"/>
            </w:tcBorders>
            <w:tcMar>
              <w:left w:w="43" w:type="dxa"/>
            </w:tcMar>
          </w:tcPr>
          <w:p w14:paraId="3365D1D4" w14:textId="77777777" w:rsidR="00317BE3" w:rsidRDefault="00A53922" w:rsidP="00EA2A5C">
            <w:pPr>
              <w:pStyle w:val="normal0"/>
              <w:widowControl w:val="0"/>
              <w:jc w:val="left"/>
            </w:pPr>
            <w:r>
              <w:rPr>
                <w:sz w:val="20"/>
                <w:szCs w:val="20"/>
              </w:rPr>
              <w:t>Unique</w:t>
            </w:r>
          </w:p>
        </w:tc>
        <w:tc>
          <w:tcPr>
            <w:tcW w:w="4320" w:type="dxa"/>
            <w:tcBorders>
              <w:top w:val="single" w:sz="4" w:space="0" w:color="000000"/>
              <w:left w:val="single" w:sz="4" w:space="0" w:color="000000"/>
              <w:bottom w:val="single" w:sz="4" w:space="0" w:color="000000"/>
              <w:right w:val="single" w:sz="4" w:space="0" w:color="000000"/>
            </w:tcBorders>
            <w:tcMar>
              <w:left w:w="43" w:type="dxa"/>
            </w:tcMar>
          </w:tcPr>
          <w:p w14:paraId="642F8E8D" w14:textId="77777777" w:rsidR="00317BE3" w:rsidRDefault="00A53922" w:rsidP="00EA2A5C">
            <w:pPr>
              <w:pStyle w:val="normal0"/>
              <w:widowControl w:val="0"/>
              <w:jc w:val="left"/>
            </w:pPr>
            <w:r>
              <w:rPr>
                <w:sz w:val="20"/>
                <w:szCs w:val="20"/>
              </w:rPr>
              <w:t xml:space="preserve">One entity should ideally be identified by no more than one URI </w:t>
            </w:r>
          </w:p>
        </w:tc>
        <w:tc>
          <w:tcPr>
            <w:tcW w:w="4725" w:type="dxa"/>
            <w:tcBorders>
              <w:top w:val="single" w:sz="4" w:space="0" w:color="000000"/>
              <w:left w:val="single" w:sz="4" w:space="0" w:color="000000"/>
              <w:bottom w:val="single" w:sz="4" w:space="0" w:color="000000"/>
            </w:tcBorders>
            <w:tcMar>
              <w:left w:w="43" w:type="dxa"/>
            </w:tcMar>
          </w:tcPr>
          <w:p w14:paraId="0F7CB495" w14:textId="77777777" w:rsidR="00317BE3" w:rsidRDefault="00A53922" w:rsidP="00EA2A5C">
            <w:pPr>
              <w:pStyle w:val="normal0"/>
              <w:widowControl w:val="0"/>
              <w:jc w:val="left"/>
            </w:pPr>
            <w:r>
              <w:rPr>
                <w:sz w:val="20"/>
                <w:szCs w:val="20"/>
              </w:rPr>
              <w:t xml:space="preserve">1) Eliminates the cost of maintaining public mappings between equivalent identifiers </w:t>
            </w:r>
          </w:p>
          <w:p w14:paraId="3E28672F" w14:textId="77777777" w:rsidR="00317BE3" w:rsidRDefault="00A53922" w:rsidP="00EA2A5C">
            <w:pPr>
              <w:pStyle w:val="normal0"/>
              <w:widowControl w:val="0"/>
              <w:jc w:val="left"/>
            </w:pPr>
            <w:r>
              <w:rPr>
                <w:sz w:val="20"/>
                <w:szCs w:val="20"/>
              </w:rPr>
              <w:t>2) Avoids false negatives if data integrators do not leverage or know about a mapping</w:t>
            </w:r>
          </w:p>
        </w:tc>
      </w:tr>
      <w:tr w:rsidR="00317BE3" w14:paraId="6695FC05" w14:textId="77777777" w:rsidTr="00954BC9">
        <w:tc>
          <w:tcPr>
            <w:tcW w:w="1650" w:type="dxa"/>
            <w:tcBorders>
              <w:top w:val="single" w:sz="4" w:space="0" w:color="000000"/>
              <w:bottom w:val="single" w:sz="4" w:space="0" w:color="000000"/>
              <w:right w:val="single" w:sz="4" w:space="0" w:color="000000"/>
            </w:tcBorders>
            <w:tcMar>
              <w:left w:w="43" w:type="dxa"/>
            </w:tcMar>
          </w:tcPr>
          <w:p w14:paraId="606D1106" w14:textId="77777777" w:rsidR="00317BE3" w:rsidRDefault="00A53922" w:rsidP="00EA2A5C">
            <w:pPr>
              <w:pStyle w:val="normal0"/>
              <w:widowControl w:val="0"/>
              <w:jc w:val="left"/>
            </w:pPr>
            <w:r>
              <w:rPr>
                <w:sz w:val="20"/>
                <w:szCs w:val="20"/>
              </w:rPr>
              <w:t>Stable (identifier)</w:t>
            </w:r>
          </w:p>
        </w:tc>
        <w:tc>
          <w:tcPr>
            <w:tcW w:w="4320" w:type="dxa"/>
            <w:tcBorders>
              <w:top w:val="single" w:sz="4" w:space="0" w:color="000000"/>
              <w:left w:val="single" w:sz="4" w:space="0" w:color="000000"/>
              <w:bottom w:val="single" w:sz="4" w:space="0" w:color="000000"/>
              <w:right w:val="single" w:sz="4" w:space="0" w:color="000000"/>
            </w:tcBorders>
            <w:tcMar>
              <w:left w:w="43" w:type="dxa"/>
            </w:tcMar>
          </w:tcPr>
          <w:p w14:paraId="5332F1AA" w14:textId="77777777" w:rsidR="00317BE3" w:rsidRDefault="00A53922" w:rsidP="00EA2A5C">
            <w:pPr>
              <w:pStyle w:val="normal0"/>
              <w:widowControl w:val="0"/>
              <w:jc w:val="left"/>
            </w:pPr>
            <w:r>
              <w:rPr>
                <w:sz w:val="20"/>
                <w:szCs w:val="20"/>
              </w:rPr>
              <w:t xml:space="preserve">The </w:t>
            </w:r>
            <w:r>
              <w:rPr>
                <w:rFonts w:ascii="Consolas" w:eastAsia="Consolas" w:hAnsi="Consolas" w:cs="Consolas"/>
                <w:sz w:val="20"/>
                <w:szCs w:val="20"/>
              </w:rPr>
              <w:t>URI, and by extension the local ID</w:t>
            </w:r>
            <w:r>
              <w:rPr>
                <w:sz w:val="20"/>
                <w:szCs w:val="20"/>
              </w:rPr>
              <w:t xml:space="preserve"> should, wherever possible stay the same over time</w:t>
            </w:r>
          </w:p>
        </w:tc>
        <w:tc>
          <w:tcPr>
            <w:tcW w:w="4725" w:type="dxa"/>
            <w:tcBorders>
              <w:top w:val="single" w:sz="4" w:space="0" w:color="000000"/>
              <w:left w:val="single" w:sz="4" w:space="0" w:color="000000"/>
              <w:bottom w:val="single" w:sz="4" w:space="0" w:color="000000"/>
            </w:tcBorders>
            <w:tcMar>
              <w:left w:w="43" w:type="dxa"/>
            </w:tcMar>
          </w:tcPr>
          <w:p w14:paraId="646DE278" w14:textId="77777777" w:rsidR="00317BE3" w:rsidRDefault="00A53922" w:rsidP="00EA2A5C">
            <w:pPr>
              <w:pStyle w:val="normal0"/>
              <w:widowControl w:val="0"/>
              <w:jc w:val="left"/>
            </w:pPr>
            <w:r>
              <w:rPr>
                <w:sz w:val="20"/>
                <w:szCs w:val="20"/>
              </w:rPr>
              <w:t xml:space="preserve">Avoids </w:t>
            </w:r>
            <w:r>
              <w:rPr>
                <w:rFonts w:ascii="Consolas" w:eastAsia="Consolas" w:hAnsi="Consolas" w:cs="Consolas"/>
                <w:sz w:val="20"/>
                <w:szCs w:val="20"/>
              </w:rPr>
              <w:t>link rot</w:t>
            </w:r>
          </w:p>
        </w:tc>
      </w:tr>
      <w:tr w:rsidR="00317BE3" w14:paraId="1AFFC750" w14:textId="77777777" w:rsidTr="00954BC9">
        <w:tc>
          <w:tcPr>
            <w:tcW w:w="1650" w:type="dxa"/>
            <w:tcBorders>
              <w:top w:val="single" w:sz="4" w:space="0" w:color="000000"/>
              <w:bottom w:val="single" w:sz="4" w:space="0" w:color="000000"/>
              <w:right w:val="single" w:sz="4" w:space="0" w:color="000000"/>
            </w:tcBorders>
            <w:tcMar>
              <w:left w:w="43" w:type="dxa"/>
            </w:tcMar>
          </w:tcPr>
          <w:p w14:paraId="22F23145" w14:textId="77777777" w:rsidR="00317BE3" w:rsidRDefault="00A53922" w:rsidP="00EA2A5C">
            <w:pPr>
              <w:pStyle w:val="normal0"/>
              <w:widowControl w:val="0"/>
              <w:jc w:val="left"/>
            </w:pPr>
            <w:r>
              <w:rPr>
                <w:sz w:val="20"/>
                <w:szCs w:val="20"/>
              </w:rPr>
              <w:t xml:space="preserve">Stable (entity) </w:t>
            </w:r>
          </w:p>
        </w:tc>
        <w:tc>
          <w:tcPr>
            <w:tcW w:w="4320" w:type="dxa"/>
            <w:tcBorders>
              <w:top w:val="single" w:sz="4" w:space="0" w:color="000000"/>
              <w:left w:val="single" w:sz="4" w:space="0" w:color="000000"/>
              <w:bottom w:val="single" w:sz="4" w:space="0" w:color="000000"/>
              <w:right w:val="single" w:sz="4" w:space="0" w:color="000000"/>
            </w:tcBorders>
            <w:tcMar>
              <w:left w:w="43" w:type="dxa"/>
            </w:tcMar>
          </w:tcPr>
          <w:p w14:paraId="4058FBA8" w14:textId="77777777" w:rsidR="00317BE3" w:rsidRDefault="00A53922" w:rsidP="00EA2A5C">
            <w:pPr>
              <w:pStyle w:val="normal0"/>
              <w:widowControl w:val="0"/>
              <w:jc w:val="left"/>
            </w:pPr>
            <w:r>
              <w:rPr>
                <w:sz w:val="20"/>
                <w:szCs w:val="20"/>
              </w:rPr>
              <w:t>Identifier must NOT be reassigned to an altogether different entity, though the original entity may evolve provided a change history is documented</w:t>
            </w:r>
          </w:p>
        </w:tc>
        <w:tc>
          <w:tcPr>
            <w:tcW w:w="4725" w:type="dxa"/>
            <w:tcBorders>
              <w:top w:val="single" w:sz="4" w:space="0" w:color="000000"/>
              <w:left w:val="single" w:sz="4" w:space="0" w:color="000000"/>
              <w:bottom w:val="single" w:sz="4" w:space="0" w:color="000000"/>
            </w:tcBorders>
            <w:tcMar>
              <w:left w:w="43" w:type="dxa"/>
            </w:tcMar>
          </w:tcPr>
          <w:p w14:paraId="30BB42D6" w14:textId="77777777" w:rsidR="00317BE3" w:rsidRDefault="00A53922" w:rsidP="00EA2A5C">
            <w:pPr>
              <w:pStyle w:val="normal0"/>
              <w:widowControl w:val="0"/>
              <w:jc w:val="left"/>
            </w:pPr>
            <w:r>
              <w:rPr>
                <w:sz w:val="20"/>
                <w:szCs w:val="20"/>
              </w:rPr>
              <w:t>Avoids integrating on the wrong entity</w:t>
            </w:r>
          </w:p>
        </w:tc>
      </w:tr>
      <w:tr w:rsidR="00317BE3" w14:paraId="1FE9CF45" w14:textId="77777777" w:rsidTr="00954BC9">
        <w:tc>
          <w:tcPr>
            <w:tcW w:w="1650" w:type="dxa"/>
            <w:tcBorders>
              <w:top w:val="single" w:sz="4" w:space="0" w:color="000000"/>
              <w:bottom w:val="single" w:sz="4" w:space="0" w:color="000000"/>
              <w:right w:val="single" w:sz="4" w:space="0" w:color="000000"/>
            </w:tcBorders>
            <w:tcMar>
              <w:left w:w="43" w:type="dxa"/>
            </w:tcMar>
          </w:tcPr>
          <w:p w14:paraId="618E0B0C" w14:textId="77777777" w:rsidR="00317BE3" w:rsidRDefault="00A53922" w:rsidP="00EA2A5C">
            <w:pPr>
              <w:pStyle w:val="normal0"/>
              <w:widowControl w:val="0"/>
              <w:jc w:val="left"/>
            </w:pPr>
            <w:r>
              <w:rPr>
                <w:sz w:val="20"/>
                <w:szCs w:val="20"/>
              </w:rPr>
              <w:t>Version- documented</w:t>
            </w:r>
          </w:p>
        </w:tc>
        <w:tc>
          <w:tcPr>
            <w:tcW w:w="4320" w:type="dxa"/>
            <w:tcBorders>
              <w:top w:val="single" w:sz="4" w:space="0" w:color="000000"/>
              <w:left w:val="single" w:sz="4" w:space="0" w:color="000000"/>
              <w:bottom w:val="single" w:sz="4" w:space="0" w:color="000000"/>
              <w:right w:val="single" w:sz="4" w:space="0" w:color="000000"/>
            </w:tcBorders>
            <w:tcMar>
              <w:left w:w="43" w:type="dxa"/>
            </w:tcMar>
          </w:tcPr>
          <w:p w14:paraId="214AB409" w14:textId="77777777" w:rsidR="00317BE3" w:rsidRDefault="00A53922" w:rsidP="00EA2A5C">
            <w:pPr>
              <w:pStyle w:val="normal0"/>
              <w:widowControl w:val="0"/>
              <w:jc w:val="left"/>
            </w:pPr>
            <w:r>
              <w:rPr>
                <w:sz w:val="20"/>
                <w:szCs w:val="20"/>
              </w:rPr>
              <w:t xml:space="preserve">If the entity’s definition or essential metadata changes substantially, (Lesson 7) the </w:t>
            </w:r>
            <w:r>
              <w:rPr>
                <w:rFonts w:ascii="Consolas" w:eastAsia="Consolas" w:hAnsi="Consolas" w:cs="Consolas"/>
                <w:sz w:val="20"/>
                <w:szCs w:val="20"/>
              </w:rPr>
              <w:t>identifier</w:t>
            </w:r>
            <w:r>
              <w:rPr>
                <w:sz w:val="20"/>
                <w:szCs w:val="20"/>
              </w:rPr>
              <w:t xml:space="preserve"> should, wherever </w:t>
            </w:r>
            <w:proofErr w:type="spellStart"/>
            <w:r>
              <w:rPr>
                <w:sz w:val="20"/>
                <w:szCs w:val="20"/>
              </w:rPr>
              <w:t>posslble</w:t>
            </w:r>
            <w:proofErr w:type="spellEnd"/>
            <w:r>
              <w:rPr>
                <w:sz w:val="20"/>
                <w:szCs w:val="20"/>
              </w:rPr>
              <w:t xml:space="preserve"> be versioned and/or change history documented </w:t>
            </w:r>
          </w:p>
        </w:tc>
        <w:tc>
          <w:tcPr>
            <w:tcW w:w="4725" w:type="dxa"/>
            <w:tcBorders>
              <w:top w:val="single" w:sz="4" w:space="0" w:color="000000"/>
              <w:left w:val="single" w:sz="4" w:space="0" w:color="000000"/>
              <w:bottom w:val="single" w:sz="4" w:space="0" w:color="000000"/>
            </w:tcBorders>
            <w:tcMar>
              <w:left w:w="43" w:type="dxa"/>
            </w:tcMar>
          </w:tcPr>
          <w:p w14:paraId="49E98D98" w14:textId="77777777" w:rsidR="00317BE3" w:rsidRDefault="00A53922" w:rsidP="00EA2A5C">
            <w:pPr>
              <w:pStyle w:val="normal0"/>
              <w:widowControl w:val="0"/>
              <w:jc w:val="left"/>
            </w:pPr>
            <w:r>
              <w:rPr>
                <w:sz w:val="20"/>
                <w:szCs w:val="20"/>
              </w:rPr>
              <w:t>Avoids integrating on the wrong entity state (specified through version)</w:t>
            </w:r>
          </w:p>
        </w:tc>
      </w:tr>
      <w:tr w:rsidR="00317BE3" w14:paraId="3BE238CF" w14:textId="77777777" w:rsidTr="00954BC9">
        <w:tc>
          <w:tcPr>
            <w:tcW w:w="1650" w:type="dxa"/>
            <w:tcBorders>
              <w:top w:val="single" w:sz="4" w:space="0" w:color="000000"/>
              <w:bottom w:val="single" w:sz="4" w:space="0" w:color="000000"/>
              <w:right w:val="single" w:sz="4" w:space="0" w:color="000000"/>
            </w:tcBorders>
            <w:tcMar>
              <w:left w:w="43" w:type="dxa"/>
            </w:tcMar>
          </w:tcPr>
          <w:p w14:paraId="67C155BE" w14:textId="77777777" w:rsidR="00317BE3" w:rsidRDefault="00A53922" w:rsidP="00EA2A5C">
            <w:pPr>
              <w:pStyle w:val="normal0"/>
              <w:widowControl w:val="0"/>
              <w:jc w:val="left"/>
            </w:pPr>
            <w:r>
              <w:rPr>
                <w:sz w:val="20"/>
                <w:szCs w:val="20"/>
              </w:rPr>
              <w:t>Persistent</w:t>
            </w:r>
          </w:p>
        </w:tc>
        <w:tc>
          <w:tcPr>
            <w:tcW w:w="4320" w:type="dxa"/>
            <w:tcBorders>
              <w:top w:val="single" w:sz="4" w:space="0" w:color="000000"/>
              <w:left w:val="single" w:sz="4" w:space="0" w:color="000000"/>
              <w:bottom w:val="single" w:sz="4" w:space="0" w:color="000000"/>
              <w:right w:val="single" w:sz="4" w:space="0" w:color="000000"/>
            </w:tcBorders>
            <w:tcMar>
              <w:left w:w="43" w:type="dxa"/>
            </w:tcMar>
          </w:tcPr>
          <w:p w14:paraId="7F034564" w14:textId="77777777" w:rsidR="00317BE3" w:rsidRDefault="00A53922" w:rsidP="00EA2A5C">
            <w:pPr>
              <w:pStyle w:val="normal0"/>
              <w:widowControl w:val="0"/>
              <w:jc w:val="left"/>
            </w:pPr>
            <w:r>
              <w:rPr>
                <w:sz w:val="20"/>
                <w:szCs w:val="20"/>
              </w:rPr>
              <w:t>The identifier must NOT be deleted (but may be deprecated)</w:t>
            </w:r>
          </w:p>
        </w:tc>
        <w:tc>
          <w:tcPr>
            <w:tcW w:w="4725" w:type="dxa"/>
            <w:tcBorders>
              <w:top w:val="single" w:sz="4" w:space="0" w:color="000000"/>
              <w:left w:val="single" w:sz="4" w:space="0" w:color="000000"/>
              <w:bottom w:val="single" w:sz="4" w:space="0" w:color="000000"/>
            </w:tcBorders>
            <w:tcMar>
              <w:left w:w="43" w:type="dxa"/>
            </w:tcMar>
          </w:tcPr>
          <w:p w14:paraId="3B8A18B2" w14:textId="77777777" w:rsidR="00317BE3" w:rsidRDefault="00A53922" w:rsidP="00EA2A5C">
            <w:pPr>
              <w:pStyle w:val="normal0"/>
              <w:widowControl w:val="0"/>
              <w:jc w:val="left"/>
            </w:pPr>
            <w:r>
              <w:rPr>
                <w:sz w:val="20"/>
                <w:szCs w:val="20"/>
              </w:rPr>
              <w:t xml:space="preserve">Avoids </w:t>
            </w:r>
            <w:r>
              <w:rPr>
                <w:rFonts w:ascii="Consolas" w:eastAsia="Consolas" w:hAnsi="Consolas" w:cs="Consolas"/>
                <w:sz w:val="20"/>
                <w:szCs w:val="20"/>
              </w:rPr>
              <w:t xml:space="preserve">link rot </w:t>
            </w:r>
          </w:p>
        </w:tc>
      </w:tr>
      <w:tr w:rsidR="00317BE3" w14:paraId="3C122CD7" w14:textId="77777777" w:rsidTr="00954BC9">
        <w:tc>
          <w:tcPr>
            <w:tcW w:w="1650" w:type="dxa"/>
            <w:tcBorders>
              <w:top w:val="single" w:sz="4" w:space="0" w:color="000000"/>
              <w:bottom w:val="single" w:sz="4" w:space="0" w:color="000000"/>
              <w:right w:val="single" w:sz="4" w:space="0" w:color="000000"/>
            </w:tcBorders>
            <w:tcMar>
              <w:left w:w="43" w:type="dxa"/>
            </w:tcMar>
          </w:tcPr>
          <w:p w14:paraId="70AA365C" w14:textId="77777777" w:rsidR="00317BE3" w:rsidRDefault="00A53922" w:rsidP="00EA2A5C">
            <w:pPr>
              <w:pStyle w:val="normal0"/>
              <w:widowControl w:val="0"/>
              <w:jc w:val="left"/>
            </w:pPr>
            <w:r>
              <w:rPr>
                <w:sz w:val="20"/>
                <w:szCs w:val="20"/>
              </w:rPr>
              <w:t>Web-resolvable</w:t>
            </w:r>
          </w:p>
        </w:tc>
        <w:tc>
          <w:tcPr>
            <w:tcW w:w="4320" w:type="dxa"/>
            <w:tcBorders>
              <w:top w:val="single" w:sz="4" w:space="0" w:color="000000"/>
              <w:left w:val="single" w:sz="4" w:space="0" w:color="000000"/>
              <w:bottom w:val="single" w:sz="4" w:space="0" w:color="000000"/>
              <w:right w:val="single" w:sz="4" w:space="0" w:color="000000"/>
            </w:tcBorders>
            <w:tcMar>
              <w:left w:w="43" w:type="dxa"/>
            </w:tcMar>
          </w:tcPr>
          <w:p w14:paraId="4CF46D78" w14:textId="77777777" w:rsidR="00317BE3" w:rsidRDefault="00A53922" w:rsidP="00EA2A5C">
            <w:pPr>
              <w:pStyle w:val="normal0"/>
              <w:widowControl w:val="0"/>
              <w:jc w:val="left"/>
            </w:pPr>
            <w:r>
              <w:rPr>
                <w:sz w:val="20"/>
                <w:szCs w:val="20"/>
              </w:rPr>
              <w:t xml:space="preserve">The </w:t>
            </w:r>
            <w:r>
              <w:rPr>
                <w:rFonts w:ascii="Consolas" w:eastAsia="Consolas" w:hAnsi="Consolas" w:cs="Consolas"/>
                <w:sz w:val="20"/>
                <w:szCs w:val="20"/>
              </w:rPr>
              <w:t>URI</w:t>
            </w:r>
            <w:r>
              <w:rPr>
                <w:sz w:val="20"/>
                <w:szCs w:val="20"/>
              </w:rPr>
              <w:t xml:space="preserve"> must be resolvable to a web address where the data or information about the entry can be accessed</w:t>
            </w:r>
          </w:p>
        </w:tc>
        <w:tc>
          <w:tcPr>
            <w:tcW w:w="4725" w:type="dxa"/>
            <w:tcBorders>
              <w:top w:val="single" w:sz="4" w:space="0" w:color="000000"/>
              <w:left w:val="single" w:sz="4" w:space="0" w:color="000000"/>
              <w:bottom w:val="single" w:sz="4" w:space="0" w:color="000000"/>
            </w:tcBorders>
            <w:tcMar>
              <w:left w:w="43" w:type="dxa"/>
            </w:tcMar>
          </w:tcPr>
          <w:p w14:paraId="58186CC9" w14:textId="77777777" w:rsidR="00317BE3" w:rsidRDefault="00A53922" w:rsidP="00EA2A5C">
            <w:pPr>
              <w:pStyle w:val="normal0"/>
              <w:widowControl w:val="0"/>
              <w:jc w:val="left"/>
            </w:pPr>
            <w:r>
              <w:rPr>
                <w:sz w:val="20"/>
                <w:szCs w:val="20"/>
              </w:rPr>
              <w:t xml:space="preserve">Avoids the unnecessary proliferation of resolvable identifiers issued by third parties (for entities that are not resolvable and/or not identified in their native context) See also </w:t>
            </w:r>
            <w:r>
              <w:rPr>
                <w:rFonts w:ascii="Consolas" w:eastAsia="Consolas" w:hAnsi="Consolas" w:cs="Consolas"/>
                <w:sz w:val="20"/>
                <w:szCs w:val="20"/>
              </w:rPr>
              <w:t>surrogate identifier.</w:t>
            </w:r>
          </w:p>
        </w:tc>
      </w:tr>
      <w:tr w:rsidR="00317BE3" w14:paraId="62BBF5D3" w14:textId="77777777" w:rsidTr="00954BC9">
        <w:tc>
          <w:tcPr>
            <w:tcW w:w="1650" w:type="dxa"/>
            <w:tcBorders>
              <w:top w:val="single" w:sz="4" w:space="0" w:color="000000"/>
              <w:bottom w:val="single" w:sz="4" w:space="0" w:color="000000"/>
              <w:right w:val="single" w:sz="4" w:space="0" w:color="000000"/>
            </w:tcBorders>
            <w:tcMar>
              <w:left w:w="43" w:type="dxa"/>
            </w:tcMar>
          </w:tcPr>
          <w:p w14:paraId="204F1B6F" w14:textId="77777777" w:rsidR="00317BE3" w:rsidRDefault="00A53922" w:rsidP="00EA2A5C">
            <w:pPr>
              <w:pStyle w:val="normal0"/>
              <w:widowControl w:val="0"/>
              <w:jc w:val="left"/>
            </w:pPr>
            <w:r>
              <w:rPr>
                <w:sz w:val="20"/>
                <w:szCs w:val="20"/>
              </w:rPr>
              <w:t>Convertible</w:t>
            </w:r>
          </w:p>
        </w:tc>
        <w:tc>
          <w:tcPr>
            <w:tcW w:w="4320" w:type="dxa"/>
            <w:tcBorders>
              <w:top w:val="single" w:sz="4" w:space="0" w:color="000000"/>
              <w:left w:val="single" w:sz="4" w:space="0" w:color="000000"/>
              <w:bottom w:val="single" w:sz="4" w:space="0" w:color="000000"/>
              <w:right w:val="single" w:sz="4" w:space="0" w:color="000000"/>
            </w:tcBorders>
            <w:tcMar>
              <w:left w:w="43" w:type="dxa"/>
            </w:tcMar>
          </w:tcPr>
          <w:p w14:paraId="15DC374F" w14:textId="77777777" w:rsidR="00317BE3" w:rsidRDefault="00A53922" w:rsidP="00EA2A5C">
            <w:pPr>
              <w:pStyle w:val="normal0"/>
              <w:widowControl w:val="0"/>
              <w:jc w:val="left"/>
            </w:pPr>
            <w:r>
              <w:rPr>
                <w:sz w:val="20"/>
                <w:szCs w:val="20"/>
              </w:rPr>
              <w:t xml:space="preserve">The </w:t>
            </w:r>
            <w:r>
              <w:rPr>
                <w:rFonts w:ascii="Consolas" w:eastAsia="Consolas" w:hAnsi="Consolas" w:cs="Consolas"/>
                <w:b/>
                <w:sz w:val="20"/>
                <w:szCs w:val="20"/>
              </w:rPr>
              <w:t>Local ID</w:t>
            </w:r>
            <w:r>
              <w:rPr>
                <w:sz w:val="20"/>
                <w:szCs w:val="20"/>
              </w:rPr>
              <w:t xml:space="preserve"> and its </w:t>
            </w:r>
            <w:r>
              <w:rPr>
                <w:rFonts w:ascii="Consolas" w:eastAsia="Consolas" w:hAnsi="Consolas" w:cs="Consolas"/>
                <w:sz w:val="20"/>
                <w:szCs w:val="20"/>
              </w:rPr>
              <w:t>URI</w:t>
            </w:r>
            <w:r>
              <w:rPr>
                <w:sz w:val="20"/>
                <w:szCs w:val="20"/>
              </w:rPr>
              <w:t xml:space="preserve"> counterpart must be inter-convertible by applying the </w:t>
            </w:r>
            <w:r>
              <w:rPr>
                <w:rFonts w:ascii="Consolas" w:eastAsia="Consolas" w:hAnsi="Consolas" w:cs="Consolas"/>
                <w:b/>
                <w:sz w:val="20"/>
                <w:szCs w:val="20"/>
              </w:rPr>
              <w:t>URI pattern</w:t>
            </w:r>
            <w:r>
              <w:t xml:space="preserve"> to the </w:t>
            </w:r>
            <w:r>
              <w:rPr>
                <w:rFonts w:ascii="Consolas" w:eastAsia="Consolas" w:hAnsi="Consolas" w:cs="Consolas"/>
                <w:b/>
                <w:sz w:val="20"/>
                <w:szCs w:val="20"/>
              </w:rPr>
              <w:t xml:space="preserve">Local ID. </w:t>
            </w:r>
            <w:r>
              <w:rPr>
                <w:sz w:val="20"/>
                <w:szCs w:val="20"/>
              </w:rPr>
              <w:t>Note that in some communities (</w:t>
            </w:r>
            <w:proofErr w:type="spellStart"/>
            <w:r>
              <w:rPr>
                <w:sz w:val="20"/>
                <w:szCs w:val="20"/>
              </w:rPr>
              <w:t>eg</w:t>
            </w:r>
            <w:proofErr w:type="spellEnd"/>
            <w:r>
              <w:rPr>
                <w:sz w:val="20"/>
                <w:szCs w:val="20"/>
              </w:rPr>
              <w:t xml:space="preserve">. ontologies), the Local ID is often a </w:t>
            </w:r>
            <w:r>
              <w:rPr>
                <w:rFonts w:ascii="Consolas" w:eastAsia="Consolas" w:hAnsi="Consolas" w:cs="Consolas"/>
                <w:sz w:val="20"/>
                <w:szCs w:val="20"/>
              </w:rPr>
              <w:t>CURIE</w:t>
            </w:r>
            <w:r>
              <w:rPr>
                <w:sz w:val="20"/>
                <w:szCs w:val="20"/>
              </w:rPr>
              <w:t xml:space="preserve"> by default.</w:t>
            </w:r>
          </w:p>
        </w:tc>
        <w:tc>
          <w:tcPr>
            <w:tcW w:w="4725" w:type="dxa"/>
            <w:tcBorders>
              <w:top w:val="single" w:sz="4" w:space="0" w:color="000000"/>
              <w:left w:val="single" w:sz="4" w:space="0" w:color="000000"/>
              <w:bottom w:val="single" w:sz="4" w:space="0" w:color="000000"/>
            </w:tcBorders>
            <w:tcMar>
              <w:left w:w="43" w:type="dxa"/>
            </w:tcMar>
          </w:tcPr>
          <w:p w14:paraId="3C429E34" w14:textId="77777777" w:rsidR="00317BE3" w:rsidRDefault="00A53922" w:rsidP="00EA2A5C">
            <w:pPr>
              <w:pStyle w:val="normal0"/>
              <w:widowControl w:val="0"/>
              <w:jc w:val="left"/>
            </w:pPr>
            <w:r>
              <w:rPr>
                <w:sz w:val="20"/>
                <w:szCs w:val="20"/>
              </w:rPr>
              <w:t>Avoids the need for special handling of edge cases when integrating data at scale</w:t>
            </w:r>
          </w:p>
        </w:tc>
      </w:tr>
      <w:tr w:rsidR="00317BE3" w14:paraId="67BF966A" w14:textId="77777777" w:rsidTr="00954BC9">
        <w:tc>
          <w:tcPr>
            <w:tcW w:w="1650" w:type="dxa"/>
            <w:tcBorders>
              <w:top w:val="single" w:sz="4" w:space="0" w:color="000000"/>
              <w:bottom w:val="single" w:sz="4" w:space="0" w:color="000000"/>
              <w:right w:val="single" w:sz="4" w:space="0" w:color="000000"/>
            </w:tcBorders>
            <w:tcMar>
              <w:left w:w="43" w:type="dxa"/>
            </w:tcMar>
          </w:tcPr>
          <w:p w14:paraId="5FD27DB0" w14:textId="77777777" w:rsidR="00317BE3" w:rsidRDefault="00A53922" w:rsidP="00EA2A5C">
            <w:pPr>
              <w:pStyle w:val="normal0"/>
              <w:widowControl w:val="0"/>
              <w:jc w:val="left"/>
            </w:pPr>
            <w:r>
              <w:rPr>
                <w:sz w:val="20"/>
                <w:szCs w:val="20"/>
              </w:rPr>
              <w:t>Defined</w:t>
            </w:r>
          </w:p>
        </w:tc>
        <w:tc>
          <w:tcPr>
            <w:tcW w:w="4320" w:type="dxa"/>
            <w:tcBorders>
              <w:top w:val="single" w:sz="4" w:space="0" w:color="000000"/>
              <w:left w:val="single" w:sz="4" w:space="0" w:color="000000"/>
              <w:bottom w:val="single" w:sz="4" w:space="0" w:color="000000"/>
              <w:right w:val="single" w:sz="4" w:space="0" w:color="000000"/>
            </w:tcBorders>
            <w:tcMar>
              <w:left w:w="43" w:type="dxa"/>
            </w:tcMar>
          </w:tcPr>
          <w:p w14:paraId="292CA134" w14:textId="77777777" w:rsidR="00317BE3" w:rsidRDefault="00A53922" w:rsidP="00EA2A5C">
            <w:pPr>
              <w:pStyle w:val="normal0"/>
              <w:widowControl w:val="0"/>
              <w:jc w:val="left"/>
            </w:pPr>
            <w:r>
              <w:rPr>
                <w:sz w:val="20"/>
                <w:szCs w:val="20"/>
                <w:highlight w:val="white"/>
              </w:rPr>
              <w:t xml:space="preserve">The total set of assignable identifiers for the </w:t>
            </w:r>
            <w:r>
              <w:rPr>
                <w:rFonts w:ascii="Consolas" w:eastAsia="Consolas" w:hAnsi="Consolas" w:cs="Consolas"/>
                <w:sz w:val="20"/>
                <w:szCs w:val="20"/>
                <w:highlight w:val="white"/>
              </w:rPr>
              <w:t>database</w:t>
            </w:r>
            <w:r>
              <w:rPr>
                <w:sz w:val="20"/>
                <w:szCs w:val="20"/>
                <w:highlight w:val="white"/>
              </w:rPr>
              <w:t xml:space="preserve"> must be describable through a formal pattern (regular expression)</w:t>
            </w:r>
          </w:p>
        </w:tc>
        <w:tc>
          <w:tcPr>
            <w:tcW w:w="4725" w:type="dxa"/>
            <w:tcBorders>
              <w:top w:val="single" w:sz="4" w:space="0" w:color="000000"/>
              <w:left w:val="single" w:sz="4" w:space="0" w:color="000000"/>
              <w:bottom w:val="single" w:sz="4" w:space="0" w:color="000000"/>
            </w:tcBorders>
            <w:tcMar>
              <w:left w:w="43" w:type="dxa"/>
            </w:tcMar>
          </w:tcPr>
          <w:p w14:paraId="303120AF" w14:textId="77777777" w:rsidR="00317BE3" w:rsidRDefault="00A53922" w:rsidP="00EA2A5C">
            <w:pPr>
              <w:pStyle w:val="normal0"/>
              <w:widowControl w:val="0"/>
              <w:jc w:val="left"/>
            </w:pPr>
            <w:r>
              <w:rPr>
                <w:sz w:val="20"/>
                <w:szCs w:val="20"/>
              </w:rPr>
              <w:t>Facilitates validation and extraction from scientific text, thus the pattern should be as tightly specified as possible (see lesson 3)</w:t>
            </w:r>
          </w:p>
        </w:tc>
      </w:tr>
      <w:tr w:rsidR="00317BE3" w14:paraId="021FDA71" w14:textId="77777777" w:rsidTr="00954BC9">
        <w:tc>
          <w:tcPr>
            <w:tcW w:w="1650" w:type="dxa"/>
            <w:tcBorders>
              <w:top w:val="single" w:sz="4" w:space="0" w:color="000000"/>
              <w:bottom w:val="single" w:sz="4" w:space="0" w:color="000000"/>
              <w:right w:val="single" w:sz="4" w:space="0" w:color="000000"/>
            </w:tcBorders>
            <w:tcMar>
              <w:left w:w="43" w:type="dxa"/>
            </w:tcMar>
          </w:tcPr>
          <w:p w14:paraId="3BFA4D3B" w14:textId="77777777" w:rsidR="00317BE3" w:rsidRDefault="00A53922" w:rsidP="00EA2A5C">
            <w:pPr>
              <w:pStyle w:val="normal0"/>
              <w:widowControl w:val="0"/>
              <w:jc w:val="left"/>
            </w:pPr>
            <w:r>
              <w:rPr>
                <w:sz w:val="20"/>
                <w:szCs w:val="20"/>
              </w:rPr>
              <w:t>Web-friendly</w:t>
            </w:r>
          </w:p>
        </w:tc>
        <w:tc>
          <w:tcPr>
            <w:tcW w:w="4320" w:type="dxa"/>
            <w:tcBorders>
              <w:top w:val="single" w:sz="4" w:space="0" w:color="000000"/>
              <w:left w:val="single" w:sz="4" w:space="0" w:color="000000"/>
              <w:bottom w:val="single" w:sz="4" w:space="0" w:color="000000"/>
              <w:right w:val="single" w:sz="4" w:space="0" w:color="000000"/>
            </w:tcBorders>
            <w:tcMar>
              <w:left w:w="43" w:type="dxa"/>
            </w:tcMar>
          </w:tcPr>
          <w:p w14:paraId="0C71996B" w14:textId="77777777" w:rsidR="00317BE3" w:rsidRDefault="00A53922" w:rsidP="00EA2A5C">
            <w:pPr>
              <w:pStyle w:val="normal0"/>
              <w:widowControl w:val="0"/>
              <w:jc w:val="left"/>
            </w:pPr>
            <w:r>
              <w:rPr>
                <w:sz w:val="20"/>
                <w:szCs w:val="20"/>
              </w:rPr>
              <w:t xml:space="preserve">The </w:t>
            </w:r>
            <w:r>
              <w:rPr>
                <w:rFonts w:ascii="Consolas" w:eastAsia="Consolas" w:hAnsi="Consolas" w:cs="Consolas"/>
                <w:b/>
                <w:sz w:val="20"/>
                <w:szCs w:val="20"/>
              </w:rPr>
              <w:t>Local ID</w:t>
            </w:r>
            <w:r>
              <w:rPr>
                <w:sz w:val="20"/>
                <w:szCs w:val="20"/>
              </w:rPr>
              <w:t xml:space="preserve"> should wherever possible be of a format that does not need special handling when used in </w:t>
            </w:r>
            <w:r>
              <w:rPr>
                <w:rFonts w:ascii="Consolas" w:eastAsia="Consolas" w:hAnsi="Consolas" w:cs="Consolas"/>
                <w:sz w:val="20"/>
                <w:szCs w:val="20"/>
              </w:rPr>
              <w:t>URLs</w:t>
            </w:r>
            <w:r>
              <w:rPr>
                <w:sz w:val="20"/>
                <w:szCs w:val="20"/>
              </w:rPr>
              <w:t xml:space="preserve"> and common exchange formats (e.g. XML)</w:t>
            </w:r>
          </w:p>
        </w:tc>
        <w:tc>
          <w:tcPr>
            <w:tcW w:w="4725" w:type="dxa"/>
            <w:tcBorders>
              <w:top w:val="single" w:sz="4" w:space="0" w:color="000000"/>
              <w:left w:val="single" w:sz="4" w:space="0" w:color="000000"/>
              <w:bottom w:val="single" w:sz="4" w:space="0" w:color="000000"/>
            </w:tcBorders>
            <w:tcMar>
              <w:left w:w="43" w:type="dxa"/>
            </w:tcMar>
          </w:tcPr>
          <w:p w14:paraId="7D174E32" w14:textId="77777777" w:rsidR="00317BE3" w:rsidRDefault="00A53922" w:rsidP="00EA2A5C">
            <w:pPr>
              <w:pStyle w:val="normal0"/>
              <w:widowControl w:val="0"/>
              <w:jc w:val="left"/>
            </w:pPr>
            <w:r>
              <w:rPr>
                <w:sz w:val="20"/>
                <w:szCs w:val="20"/>
              </w:rPr>
              <w:t>Avoids potential points of failure due to malformed URL, XML, etc.</w:t>
            </w:r>
          </w:p>
        </w:tc>
      </w:tr>
      <w:tr w:rsidR="00317BE3" w14:paraId="51D91EA0" w14:textId="77777777" w:rsidTr="00954BC9">
        <w:tc>
          <w:tcPr>
            <w:tcW w:w="1650" w:type="dxa"/>
            <w:tcBorders>
              <w:top w:val="single" w:sz="4" w:space="0" w:color="000000"/>
              <w:bottom w:val="single" w:sz="4" w:space="0" w:color="000000"/>
              <w:right w:val="single" w:sz="4" w:space="0" w:color="000000"/>
            </w:tcBorders>
            <w:tcMar>
              <w:left w:w="43" w:type="dxa"/>
            </w:tcMar>
          </w:tcPr>
          <w:p w14:paraId="1B0BC159" w14:textId="77777777" w:rsidR="00317BE3" w:rsidRDefault="00A53922" w:rsidP="00EA2A5C">
            <w:pPr>
              <w:pStyle w:val="normal0"/>
              <w:widowControl w:val="0"/>
              <w:jc w:val="left"/>
            </w:pPr>
            <w:r>
              <w:rPr>
                <w:sz w:val="20"/>
                <w:szCs w:val="20"/>
              </w:rPr>
              <w:t>Free to assign</w:t>
            </w:r>
          </w:p>
        </w:tc>
        <w:tc>
          <w:tcPr>
            <w:tcW w:w="4320" w:type="dxa"/>
            <w:tcBorders>
              <w:top w:val="single" w:sz="4" w:space="0" w:color="000000"/>
              <w:left w:val="single" w:sz="4" w:space="0" w:color="000000"/>
              <w:bottom w:val="single" w:sz="4" w:space="0" w:color="000000"/>
              <w:right w:val="single" w:sz="4" w:space="0" w:color="000000"/>
            </w:tcBorders>
            <w:tcMar>
              <w:left w:w="43" w:type="dxa"/>
            </w:tcMar>
          </w:tcPr>
          <w:p w14:paraId="2D0531D3" w14:textId="77777777" w:rsidR="00317BE3" w:rsidRDefault="00A53922" w:rsidP="00EA2A5C">
            <w:pPr>
              <w:pStyle w:val="normal0"/>
              <w:widowControl w:val="0"/>
              <w:jc w:val="left"/>
            </w:pPr>
            <w:r>
              <w:rPr>
                <w:sz w:val="20"/>
                <w:szCs w:val="20"/>
              </w:rPr>
              <w:t xml:space="preserve">The </w:t>
            </w:r>
            <w:r>
              <w:rPr>
                <w:rFonts w:ascii="Consolas" w:eastAsia="Consolas" w:hAnsi="Consolas" w:cs="Consolas"/>
                <w:sz w:val="20"/>
                <w:szCs w:val="20"/>
              </w:rPr>
              <w:t>identifier</w:t>
            </w:r>
            <w:r>
              <w:rPr>
                <w:sz w:val="20"/>
                <w:szCs w:val="20"/>
              </w:rPr>
              <w:t xml:space="preserve"> should ideally be assigned at no cost to individuals depositing data in a repository</w:t>
            </w:r>
          </w:p>
        </w:tc>
        <w:tc>
          <w:tcPr>
            <w:tcW w:w="4725" w:type="dxa"/>
            <w:tcBorders>
              <w:top w:val="single" w:sz="4" w:space="0" w:color="000000"/>
              <w:left w:val="single" w:sz="4" w:space="0" w:color="000000"/>
              <w:bottom w:val="single" w:sz="4" w:space="0" w:color="000000"/>
            </w:tcBorders>
            <w:tcMar>
              <w:left w:w="43" w:type="dxa"/>
            </w:tcMar>
          </w:tcPr>
          <w:p w14:paraId="3B5548DD" w14:textId="77777777" w:rsidR="00317BE3" w:rsidRDefault="00A53922" w:rsidP="00EA2A5C">
            <w:pPr>
              <w:pStyle w:val="normal0"/>
              <w:widowControl w:val="0"/>
              <w:jc w:val="left"/>
            </w:pPr>
            <w:r>
              <w:rPr>
                <w:sz w:val="20"/>
                <w:szCs w:val="20"/>
              </w:rPr>
              <w:t>Lowers barriers for data generators to deposit data</w:t>
            </w:r>
          </w:p>
        </w:tc>
      </w:tr>
      <w:tr w:rsidR="00317BE3" w14:paraId="5DF39571" w14:textId="77777777" w:rsidTr="00954BC9">
        <w:tc>
          <w:tcPr>
            <w:tcW w:w="1650" w:type="dxa"/>
            <w:tcBorders>
              <w:top w:val="single" w:sz="4" w:space="0" w:color="000000"/>
              <w:bottom w:val="single" w:sz="4" w:space="0" w:color="000000"/>
              <w:right w:val="single" w:sz="4" w:space="0" w:color="000000"/>
            </w:tcBorders>
            <w:tcMar>
              <w:left w:w="43" w:type="dxa"/>
            </w:tcMar>
          </w:tcPr>
          <w:p w14:paraId="1178BFE3" w14:textId="77777777" w:rsidR="00317BE3" w:rsidRDefault="00A53922" w:rsidP="00EA2A5C">
            <w:pPr>
              <w:pStyle w:val="normal0"/>
              <w:widowControl w:val="0"/>
              <w:jc w:val="left"/>
            </w:pPr>
            <w:r>
              <w:rPr>
                <w:sz w:val="20"/>
                <w:szCs w:val="20"/>
              </w:rPr>
              <w:t>Open access and use</w:t>
            </w:r>
          </w:p>
        </w:tc>
        <w:tc>
          <w:tcPr>
            <w:tcW w:w="4320" w:type="dxa"/>
            <w:tcBorders>
              <w:top w:val="single" w:sz="4" w:space="0" w:color="000000"/>
              <w:left w:val="single" w:sz="4" w:space="0" w:color="000000"/>
              <w:bottom w:val="single" w:sz="4" w:space="0" w:color="000000"/>
              <w:right w:val="single" w:sz="4" w:space="0" w:color="000000"/>
            </w:tcBorders>
            <w:tcMar>
              <w:left w:w="43" w:type="dxa"/>
            </w:tcMar>
          </w:tcPr>
          <w:p w14:paraId="6066202F" w14:textId="77777777" w:rsidR="00317BE3" w:rsidRDefault="00A53922" w:rsidP="00EA2A5C">
            <w:pPr>
              <w:pStyle w:val="normal0"/>
              <w:widowControl w:val="0"/>
              <w:jc w:val="left"/>
            </w:pPr>
            <w:r>
              <w:rPr>
                <w:sz w:val="20"/>
                <w:szCs w:val="20"/>
              </w:rPr>
              <w:t xml:space="preserve">The </w:t>
            </w:r>
            <w:r>
              <w:rPr>
                <w:rFonts w:ascii="Consolas" w:eastAsia="Consolas" w:hAnsi="Consolas" w:cs="Consolas"/>
                <w:sz w:val="20"/>
                <w:szCs w:val="20"/>
              </w:rPr>
              <w:t>identifier</w:t>
            </w:r>
            <w:r>
              <w:rPr>
                <w:sz w:val="20"/>
                <w:szCs w:val="20"/>
              </w:rPr>
              <w:t xml:space="preserve"> and its </w:t>
            </w:r>
            <w:r>
              <w:rPr>
                <w:rFonts w:ascii="Consolas" w:eastAsia="Consolas" w:hAnsi="Consolas" w:cs="Consolas"/>
                <w:sz w:val="20"/>
                <w:szCs w:val="20"/>
              </w:rPr>
              <w:t>label</w:t>
            </w:r>
            <w:r>
              <w:rPr>
                <w:sz w:val="20"/>
                <w:szCs w:val="20"/>
              </w:rPr>
              <w:t xml:space="preserve"> should be able to be transparently referenced and </w:t>
            </w:r>
            <w:proofErr w:type="spellStart"/>
            <w:r>
              <w:rPr>
                <w:sz w:val="20"/>
                <w:szCs w:val="20"/>
              </w:rPr>
              <w:t>actioned</w:t>
            </w:r>
            <w:proofErr w:type="spellEnd"/>
            <w:r>
              <w:rPr>
                <w:sz w:val="20"/>
                <w:szCs w:val="20"/>
              </w:rPr>
              <w:t xml:space="preserve"> (e.g. in a public index or search) anywhere by anyone and for any reason. Restrictions on associated data may apply but are not recommended.</w:t>
            </w:r>
          </w:p>
        </w:tc>
        <w:tc>
          <w:tcPr>
            <w:tcW w:w="4725" w:type="dxa"/>
            <w:tcBorders>
              <w:top w:val="single" w:sz="4" w:space="0" w:color="000000"/>
              <w:left w:val="single" w:sz="4" w:space="0" w:color="000000"/>
              <w:bottom w:val="single" w:sz="4" w:space="0" w:color="000000"/>
            </w:tcBorders>
            <w:tcMar>
              <w:left w:w="43" w:type="dxa"/>
            </w:tcMar>
          </w:tcPr>
          <w:p w14:paraId="48ED982B" w14:textId="77777777" w:rsidR="00317BE3" w:rsidRDefault="00A53922" w:rsidP="00EA2A5C">
            <w:pPr>
              <w:pStyle w:val="normal0"/>
              <w:widowControl w:val="0"/>
              <w:jc w:val="left"/>
            </w:pPr>
            <w:r>
              <w:rPr>
                <w:sz w:val="20"/>
                <w:szCs w:val="20"/>
              </w:rPr>
              <w:t>Enables integration on the basis of scientific merit, rather than on the restrictions of the license</w:t>
            </w:r>
          </w:p>
        </w:tc>
      </w:tr>
      <w:tr w:rsidR="00317BE3" w14:paraId="3E910498" w14:textId="77777777" w:rsidTr="00954BC9">
        <w:tc>
          <w:tcPr>
            <w:tcW w:w="1650" w:type="dxa"/>
            <w:tcBorders>
              <w:top w:val="single" w:sz="4" w:space="0" w:color="000000"/>
              <w:bottom w:val="single" w:sz="4" w:space="0" w:color="000000"/>
              <w:right w:val="single" w:sz="4" w:space="0" w:color="000000"/>
            </w:tcBorders>
            <w:tcMar>
              <w:left w:w="43" w:type="dxa"/>
            </w:tcMar>
          </w:tcPr>
          <w:p w14:paraId="64B8F880" w14:textId="77777777" w:rsidR="00317BE3" w:rsidRDefault="00A53922" w:rsidP="00EA2A5C">
            <w:pPr>
              <w:pStyle w:val="normal0"/>
              <w:widowControl w:val="0"/>
              <w:jc w:val="left"/>
            </w:pPr>
            <w:r>
              <w:rPr>
                <w:sz w:val="20"/>
                <w:szCs w:val="20"/>
              </w:rPr>
              <w:t>Documented</w:t>
            </w:r>
          </w:p>
        </w:tc>
        <w:tc>
          <w:tcPr>
            <w:tcW w:w="4320" w:type="dxa"/>
            <w:tcBorders>
              <w:top w:val="single" w:sz="4" w:space="0" w:color="000000"/>
              <w:left w:val="single" w:sz="4" w:space="0" w:color="000000"/>
              <w:bottom w:val="single" w:sz="4" w:space="0" w:color="000000"/>
              <w:right w:val="single" w:sz="4" w:space="0" w:color="000000"/>
            </w:tcBorders>
            <w:tcMar>
              <w:left w:w="43" w:type="dxa"/>
            </w:tcMar>
          </w:tcPr>
          <w:p w14:paraId="27222849" w14:textId="77777777" w:rsidR="00317BE3" w:rsidRDefault="00A53922" w:rsidP="00EA2A5C">
            <w:pPr>
              <w:pStyle w:val="normal0"/>
              <w:widowControl w:val="0"/>
              <w:jc w:val="left"/>
            </w:pPr>
            <w:r>
              <w:rPr>
                <w:sz w:val="20"/>
                <w:szCs w:val="20"/>
              </w:rPr>
              <w:t>The identifier scheme should be documented</w:t>
            </w:r>
          </w:p>
        </w:tc>
        <w:tc>
          <w:tcPr>
            <w:tcW w:w="4725" w:type="dxa"/>
            <w:tcBorders>
              <w:top w:val="single" w:sz="4" w:space="0" w:color="000000"/>
              <w:left w:val="single" w:sz="4" w:space="0" w:color="000000"/>
              <w:bottom w:val="single" w:sz="4" w:space="0" w:color="000000"/>
            </w:tcBorders>
            <w:tcMar>
              <w:left w:w="43" w:type="dxa"/>
            </w:tcMar>
          </w:tcPr>
          <w:p w14:paraId="64702D91" w14:textId="77777777" w:rsidR="00317BE3" w:rsidRDefault="00A53922" w:rsidP="00EA2A5C">
            <w:pPr>
              <w:pStyle w:val="normal0"/>
              <w:widowControl w:val="0"/>
              <w:jc w:val="left"/>
            </w:pPr>
            <w:r>
              <w:rPr>
                <w:sz w:val="20"/>
                <w:szCs w:val="20"/>
              </w:rPr>
              <w:t>Encourages consistent use of existing identifiers by others and reduces the number of ways identifiers are represented.</w:t>
            </w:r>
          </w:p>
        </w:tc>
      </w:tr>
    </w:tbl>
    <w:p w14:paraId="5C6A0ACB" w14:textId="77777777" w:rsidR="00317BE3" w:rsidRDefault="00A53922" w:rsidP="00EA2A5C">
      <w:pPr>
        <w:pStyle w:val="normal0"/>
      </w:pPr>
      <w:hyperlink r:id="rId40"/>
    </w:p>
    <w:p w14:paraId="6B2CE3D6" w14:textId="77777777" w:rsidR="00317BE3" w:rsidRDefault="00A53922" w:rsidP="00EA2A5C">
      <w:pPr>
        <w:pStyle w:val="Heading2"/>
      </w:pPr>
      <w:bookmarkStart w:id="7" w:name="_2et92p0" w:colFirst="0" w:colLast="0"/>
      <w:bookmarkEnd w:id="7"/>
      <w:r>
        <w:t>3. Design new identifiers for diverse uses by others</w:t>
      </w:r>
    </w:p>
    <w:p w14:paraId="342D7DA2" w14:textId="77777777" w:rsidR="00317BE3" w:rsidRDefault="00A53922" w:rsidP="00EA2A5C">
      <w:pPr>
        <w:pStyle w:val="normal0"/>
      </w:pPr>
      <w:r>
        <w:t xml:space="preserve">Pre-existing identifiers should be referenced without modifications (see </w:t>
      </w:r>
      <w:r>
        <w:rPr>
          <w:b/>
        </w:rPr>
        <w:t>Lesson 10</w:t>
      </w:r>
      <w:r>
        <w:t xml:space="preserve">). However, when new local identifiers are necessary, there are some design decisions that can facilitate their use in diverse contexts (spreadsheets, other databases, web applications, publications, etc.). </w:t>
      </w:r>
    </w:p>
    <w:p w14:paraId="46B54764" w14:textId="39B5541C" w:rsidR="00317BE3" w:rsidRDefault="00EA2A5C" w:rsidP="00A53922">
      <w:r>
        <w:rPr>
          <w:rFonts w:ascii="Consolas" w:eastAsia="Consolas" w:hAnsi="Consolas" w:cs="Consolas"/>
        </w:rPr>
        <w:br w:type="page"/>
      </w:r>
      <w:r w:rsidR="00A53922">
        <w:rPr>
          <w:rFonts w:ascii="Consolas" w:eastAsia="Consolas" w:hAnsi="Consolas" w:cs="Consolas"/>
        </w:rPr>
        <w:lastRenderedPageBreak/>
        <w:t>Local Identifiers</w:t>
      </w:r>
      <w:r w:rsidR="00A53922">
        <w:t>:</w:t>
      </w:r>
    </w:p>
    <w:p w14:paraId="3380A9B6" w14:textId="77777777" w:rsidR="00317BE3" w:rsidRDefault="00A53922" w:rsidP="00EA2A5C">
      <w:pPr>
        <w:pStyle w:val="normal0"/>
        <w:numPr>
          <w:ilvl w:val="0"/>
          <w:numId w:val="1"/>
        </w:numPr>
        <w:contextualSpacing/>
      </w:pPr>
      <w:r>
        <w:t xml:space="preserve">Should, wherever possible, comprise only letters, numbers and URL-safe delimiters. Omission of other special characters guards against corruption and </w:t>
      </w:r>
      <w:proofErr w:type="spellStart"/>
      <w:r>
        <w:t>mistranscription</w:t>
      </w:r>
      <w:proofErr w:type="spellEnd"/>
      <w:r>
        <w:t xml:space="preserve"> in many contexts; however, it is acceptable that the </w:t>
      </w:r>
      <w:r>
        <w:rPr>
          <w:rFonts w:ascii="Consolas" w:eastAsia="Consolas" w:hAnsi="Consolas" w:cs="Consolas"/>
        </w:rPr>
        <w:t>Local ID</w:t>
      </w:r>
      <w:r>
        <w:t xml:space="preserve"> be in </w:t>
      </w:r>
      <w:r>
        <w:rPr>
          <w:rFonts w:ascii="Consolas" w:eastAsia="Consolas" w:hAnsi="Consolas" w:cs="Consolas"/>
        </w:rPr>
        <w:t>CURIE</w:t>
      </w:r>
      <w:r>
        <w:t xml:space="preserve"> format since modern browsers resolve colons without having to encode them. Although characters “/” and “?” are technically URL-safe, they are very problematic when used </w:t>
      </w:r>
      <w:r>
        <w:rPr>
          <w:i/>
        </w:rPr>
        <w:t>within</w:t>
      </w:r>
      <w:r>
        <w:t xml:space="preserve"> the </w:t>
      </w:r>
      <w:r>
        <w:rPr>
          <w:rFonts w:ascii="Consolas" w:eastAsia="Consolas" w:hAnsi="Consolas" w:cs="Consolas"/>
        </w:rPr>
        <w:t>local ID</w:t>
      </w:r>
      <w:r>
        <w:t xml:space="preserve"> as these characters are assumed to have special meaning and can complicate parsing of the identifiers, whatever forms they take.</w:t>
      </w:r>
    </w:p>
    <w:p w14:paraId="69FB718C" w14:textId="77777777" w:rsidR="00317BE3" w:rsidRDefault="00A53922" w:rsidP="00EA2A5C">
      <w:pPr>
        <w:pStyle w:val="normal0"/>
        <w:numPr>
          <w:ilvl w:val="0"/>
          <w:numId w:val="1"/>
        </w:numPr>
        <w:contextualSpacing/>
      </w:pPr>
      <w:r>
        <w:t>Consider using both letters and numbers. This avoids misinterpretation as numeric data (e.g. truncation of leading zeros or conversion to exponents in spreadsheets).</w:t>
      </w:r>
    </w:p>
    <w:p w14:paraId="6E3FFE2B" w14:textId="77777777" w:rsidR="00317BE3" w:rsidRDefault="00A53922" w:rsidP="00EA2A5C">
      <w:pPr>
        <w:pStyle w:val="normal0"/>
        <w:numPr>
          <w:ilvl w:val="0"/>
          <w:numId w:val="1"/>
        </w:numPr>
        <w:contextualSpacing/>
      </w:pPr>
      <w:r>
        <w:t>Should avoid patterns that could result in misinterpretation/corruption whether as dates (e.g. “may-15”), exponents (e.g. “5e1234”)[</w:t>
      </w:r>
      <w:hyperlink r:id="rId41">
        <w:r>
          <w:rPr>
            <w:color w:val="0000FF"/>
            <w:u w:val="single"/>
          </w:rPr>
          <w:t>21</w:t>
        </w:r>
      </w:hyperlink>
      <w:r>
        <w:t>], or as unintended words (e.g. “bad-12”). Such issues in gene names alone have been shown to impact 19% of life sciences papers. [</w:t>
      </w:r>
      <w:hyperlink r:id="rId42">
        <w:r>
          <w:rPr>
            <w:color w:val="0000FF"/>
            <w:u w:val="single"/>
          </w:rPr>
          <w:t>22</w:t>
        </w:r>
      </w:hyperlink>
      <w:r>
        <w:t>]</w:t>
      </w:r>
    </w:p>
    <w:p w14:paraId="2806B08F" w14:textId="77777777" w:rsidR="00317BE3" w:rsidRDefault="00A53922" w:rsidP="00EA2A5C">
      <w:pPr>
        <w:pStyle w:val="normal0"/>
        <w:numPr>
          <w:ilvl w:val="0"/>
          <w:numId w:val="1"/>
        </w:numPr>
        <w:contextualSpacing/>
      </w:pPr>
      <w:r>
        <w:t>Must adhere to a formal pattern (regular expression); this facilitates</w:t>
      </w:r>
      <w:r>
        <w:rPr>
          <w:strike/>
        </w:rPr>
        <w:t xml:space="preserve"> </w:t>
      </w:r>
      <w:r>
        <w:t xml:space="preserve">the validation of URIs and improves the accuracy of mining identifiers from scientific text. Consider a fixed length of 8-16 characters (according to the anticipated number of required </w:t>
      </w:r>
      <w:r>
        <w:rPr>
          <w:rFonts w:ascii="Consolas" w:eastAsia="Consolas" w:hAnsi="Consolas" w:cs="Consolas"/>
          <w:b/>
          <w:sz w:val="20"/>
          <w:szCs w:val="20"/>
        </w:rPr>
        <w:t>Local ID</w:t>
      </w:r>
      <w:r>
        <w:t xml:space="preserve">s). A pattern may be extended if all available identifiers are issued, but existing identifiers should not be changed. To minimize </w:t>
      </w:r>
      <w:r>
        <w:rPr>
          <w:rFonts w:ascii="Consolas" w:eastAsia="Consolas" w:hAnsi="Consolas" w:cs="Consolas"/>
          <w:b/>
          <w:sz w:val="20"/>
          <w:szCs w:val="20"/>
        </w:rPr>
        <w:t>Local ID</w:t>
      </w:r>
      <w:r>
        <w:t xml:space="preserve"> collisions at global scale, it is considerate to tightly specify your pattern (e.g. using one or more fixed letters). </w:t>
      </w:r>
    </w:p>
    <w:p w14:paraId="23B01805" w14:textId="77777777" w:rsidR="00317BE3" w:rsidRDefault="00A53922" w:rsidP="00EA2A5C">
      <w:pPr>
        <w:pStyle w:val="normal0"/>
        <w:numPr>
          <w:ilvl w:val="0"/>
          <w:numId w:val="1"/>
        </w:numPr>
        <w:contextualSpacing/>
      </w:pPr>
      <w:r>
        <w:t xml:space="preserve">The regular expression should include a fixed, documented case convention. In most cases, it is advised that identifiers not rely on case for their uniqueness: if you assign </w:t>
      </w:r>
      <w:r>
        <w:rPr>
          <w:rFonts w:ascii="Consolas" w:eastAsia="Consolas" w:hAnsi="Consolas" w:cs="Consolas"/>
        </w:rPr>
        <w:t>ab-12345</w:t>
      </w:r>
      <w:r>
        <w:t xml:space="preserve"> to one entity and AB-12345 to </w:t>
      </w:r>
      <w:r>
        <w:rPr>
          <w:i/>
        </w:rPr>
        <w:t>a different</w:t>
      </w:r>
      <w:r>
        <w:t xml:space="preserve"> entity, collisions due to </w:t>
      </w:r>
      <w:proofErr w:type="spellStart"/>
      <w:r>
        <w:t>mistranscription</w:t>
      </w:r>
      <w:proofErr w:type="spellEnd"/>
      <w:r>
        <w:t xml:space="preserve"> are more likely. Case-sensitive patterns are best reserved for when brevity is a constraint (e.g. millions of IDs are required and each ID has to be short enough to be printed on a vial label).</w:t>
      </w:r>
    </w:p>
    <w:p w14:paraId="359648E4" w14:textId="77777777" w:rsidR="00317BE3" w:rsidRDefault="00A53922" w:rsidP="00EA2A5C">
      <w:pPr>
        <w:pStyle w:val="normal0"/>
        <w:numPr>
          <w:ilvl w:val="0"/>
          <w:numId w:val="1"/>
        </w:numPr>
        <w:contextualSpacing/>
      </w:pPr>
      <w:r>
        <w:t xml:space="preserve">Should ideally not contain ‘.’ except to denote version where appropriate (see </w:t>
      </w:r>
      <w:r>
        <w:rPr>
          <w:b/>
        </w:rPr>
        <w:t>Lesson 7</w:t>
      </w:r>
      <w:r>
        <w:t>).</w:t>
      </w:r>
    </w:p>
    <w:p w14:paraId="61771AD5" w14:textId="77777777" w:rsidR="00317BE3" w:rsidRDefault="00317BE3" w:rsidP="00EA2A5C">
      <w:pPr>
        <w:pStyle w:val="normal0"/>
        <w:ind w:hanging="360"/>
      </w:pPr>
    </w:p>
    <w:p w14:paraId="314D4C93" w14:textId="77777777" w:rsidR="00317BE3" w:rsidRDefault="00A53922" w:rsidP="00EA2A5C">
      <w:pPr>
        <w:pStyle w:val="normal0"/>
      </w:pPr>
      <w:r>
        <w:t xml:space="preserve">Others will reference your identifiers in compact notation, whether in websites, or in structured documents like </w:t>
      </w:r>
      <w:r>
        <w:rPr>
          <w:rFonts w:ascii="Consolas" w:eastAsia="Consolas" w:hAnsi="Consolas" w:cs="Consolas"/>
        </w:rPr>
        <w:t xml:space="preserve">JSON-LD. </w:t>
      </w:r>
      <w:r>
        <w:t>One minor consideration will make your identifiers better suited to this:</w:t>
      </w:r>
    </w:p>
    <w:p w14:paraId="7D7F6C27" w14:textId="77777777" w:rsidR="00317BE3" w:rsidRDefault="00A53922" w:rsidP="00EA2A5C">
      <w:pPr>
        <w:pStyle w:val="normal0"/>
        <w:numPr>
          <w:ilvl w:val="0"/>
          <w:numId w:val="1"/>
        </w:numPr>
        <w:contextualSpacing/>
      </w:pPr>
      <w:r>
        <w:t xml:space="preserve">A historically common, if thorny, identifier pattern is that ‘_’ and ‘:’ are often interconverted and it has come to be understood as compact notation, delimiting the </w:t>
      </w:r>
      <w:r>
        <w:rPr>
          <w:rFonts w:ascii="Consolas" w:eastAsia="Consolas" w:hAnsi="Consolas" w:cs="Consolas"/>
        </w:rPr>
        <w:t>prefix</w:t>
      </w:r>
      <w:r>
        <w:t xml:space="preserve"> from the rest of the identifier. Therefore ‘_’ or ‘:’ should occur no more than once per identifier and should only be used if local identifiers </w:t>
      </w:r>
      <w:proofErr w:type="gramStart"/>
      <w:r>
        <w:t>are intended to be deterministically expanded</w:t>
      </w:r>
      <w:proofErr w:type="gramEnd"/>
      <w:r>
        <w:t xml:space="preserve"> to a resolvable http URI. For instance, if your intended </w:t>
      </w:r>
      <w:r>
        <w:rPr>
          <w:rFonts w:ascii="Consolas" w:eastAsia="Consolas" w:hAnsi="Consolas" w:cs="Consolas"/>
        </w:rPr>
        <w:t>prefix</w:t>
      </w:r>
      <w:r>
        <w:t xml:space="preserve"> is ‘</w:t>
      </w:r>
      <w:proofErr w:type="spellStart"/>
      <w:r>
        <w:rPr>
          <w:rFonts w:ascii="Consolas" w:eastAsia="Consolas" w:hAnsi="Consolas" w:cs="Consolas"/>
        </w:rPr>
        <w:t>MyDB</w:t>
      </w:r>
      <w:proofErr w:type="spellEnd"/>
      <w:r>
        <w:t xml:space="preserve">’, then either </w:t>
      </w:r>
      <w:r>
        <w:rPr>
          <w:rFonts w:ascii="Consolas" w:eastAsia="Consolas" w:hAnsi="Consolas" w:cs="Consolas"/>
        </w:rPr>
        <w:t>MyDB</w:t>
      </w:r>
      <w:proofErr w:type="gramStart"/>
      <w:r>
        <w:rPr>
          <w:rFonts w:ascii="Consolas" w:eastAsia="Consolas" w:hAnsi="Consolas" w:cs="Consolas"/>
        </w:rPr>
        <w:t>:gene</w:t>
      </w:r>
      <w:proofErr w:type="gramEnd"/>
      <w:r>
        <w:rPr>
          <w:rFonts w:ascii="Consolas" w:eastAsia="Consolas" w:hAnsi="Consolas" w:cs="Consolas"/>
        </w:rPr>
        <w:t>-6622</w:t>
      </w:r>
      <w:r>
        <w:t xml:space="preserve"> or </w:t>
      </w:r>
      <w:r>
        <w:rPr>
          <w:rFonts w:ascii="Consolas" w:eastAsia="Consolas" w:hAnsi="Consolas" w:cs="Consolas"/>
        </w:rPr>
        <w:t>MyDB_gene-6622</w:t>
      </w:r>
      <w:r>
        <w:t xml:space="preserve"> are acceptable patterns, but </w:t>
      </w:r>
      <w:r>
        <w:rPr>
          <w:rFonts w:ascii="Consolas" w:eastAsia="Consolas" w:hAnsi="Consolas" w:cs="Consolas"/>
        </w:rPr>
        <w:t>MyDB_gene_6622</w:t>
      </w:r>
      <w:r>
        <w:t xml:space="preserve"> is problematic as it could result in three possible conversions by others, even if these are not intended: </w:t>
      </w:r>
      <w:r>
        <w:rPr>
          <w:rFonts w:ascii="Consolas" w:eastAsia="Consolas" w:hAnsi="Consolas" w:cs="Consolas"/>
        </w:rPr>
        <w:t>MyDB_gene:6622</w:t>
      </w:r>
      <w:r>
        <w:t xml:space="preserve">, </w:t>
      </w:r>
      <w:r>
        <w:rPr>
          <w:rFonts w:ascii="Consolas" w:eastAsia="Consolas" w:hAnsi="Consolas" w:cs="Consolas"/>
        </w:rPr>
        <w:t>MyDB:gene_6622</w:t>
      </w:r>
      <w:r>
        <w:t xml:space="preserve">, </w:t>
      </w:r>
      <w:r>
        <w:rPr>
          <w:rFonts w:ascii="Consolas" w:eastAsia="Consolas" w:hAnsi="Consolas" w:cs="Consolas"/>
        </w:rPr>
        <w:t>MyDB:gene:6622</w:t>
      </w:r>
      <w:r>
        <w:t>. Whatever pattern you adopt, document which variations you support resolution of, if any.</w:t>
      </w:r>
    </w:p>
    <w:p w14:paraId="1C6522AF" w14:textId="77777777" w:rsidR="00317BE3" w:rsidRDefault="00A53922" w:rsidP="00EA2A5C">
      <w:pPr>
        <w:pStyle w:val="Heading2"/>
      </w:pPr>
      <w:bookmarkStart w:id="8" w:name="_2s8eyo1" w:colFirst="0" w:colLast="0"/>
      <w:bookmarkEnd w:id="8"/>
      <w:r>
        <w:t>4. Avoid embedding meaning, or relying on it for uniqueness</w:t>
      </w:r>
    </w:p>
    <w:p w14:paraId="6EF059A1" w14:textId="77777777" w:rsidR="00317BE3" w:rsidRDefault="00A53922" w:rsidP="00EA2A5C">
      <w:pPr>
        <w:pStyle w:val="normal0"/>
      </w:pPr>
      <w:r>
        <w:t xml:space="preserve">The structure and scope of collections evolve, as does scientific understanding; minimizing the meaning embedded in identifiers makes them less vulnerable to </w:t>
      </w:r>
      <w:proofErr w:type="spellStart"/>
      <w:r>
        <w:t>obsoletion</w:t>
      </w:r>
      <w:proofErr w:type="spellEnd"/>
      <w:r>
        <w:t>. In human genetics many genes were initially identified based on disease association; later the identification, nomenclature, and function of genes were separated into different activities. Meaning should only be embedded if it is indisputable, unchangeable and also useful to the data consumer (e.g. computer-</w:t>
      </w:r>
      <w:proofErr w:type="spellStart"/>
      <w:r>
        <w:t>processable</w:t>
      </w:r>
      <w:proofErr w:type="spellEnd"/>
      <w:r>
        <w:t>). For instance, the type of entity imparts meaning to users and may fulfill these three criteria. When encountered, typing may be embedded, either within the local ID (</w:t>
      </w:r>
      <w:r>
        <w:rPr>
          <w:rFonts w:ascii="Consolas" w:eastAsia="Consolas" w:hAnsi="Consolas" w:cs="Consolas"/>
        </w:rPr>
        <w:t>ENS</w:t>
      </w:r>
      <w:r>
        <w:rPr>
          <w:rFonts w:ascii="Consolas" w:eastAsia="Consolas" w:hAnsi="Consolas" w:cs="Consolas"/>
          <w:u w:val="single"/>
        </w:rPr>
        <w:t>MUSG</w:t>
      </w:r>
      <w:r>
        <w:rPr>
          <w:rFonts w:ascii="Consolas" w:eastAsia="Consolas" w:hAnsi="Consolas" w:cs="Consolas"/>
        </w:rPr>
        <w:t>…</w:t>
      </w:r>
      <w:r>
        <w:t>), or within the http URI path (</w:t>
      </w:r>
      <w:r>
        <w:rPr>
          <w:rFonts w:ascii="Consolas" w:eastAsia="Consolas" w:hAnsi="Consolas" w:cs="Consolas"/>
        </w:rPr>
        <w:t>.../</w:t>
      </w:r>
      <w:r>
        <w:rPr>
          <w:rFonts w:ascii="Consolas" w:eastAsia="Consolas" w:hAnsi="Consolas" w:cs="Consolas"/>
          <w:u w:val="single"/>
        </w:rPr>
        <w:t>gene</w:t>
      </w:r>
      <w:r>
        <w:rPr>
          <w:rFonts w:ascii="Consolas" w:eastAsia="Consolas" w:hAnsi="Consolas" w:cs="Consolas"/>
        </w:rPr>
        <w:t>/12345</w:t>
      </w:r>
      <w:r>
        <w:t xml:space="preserve">), or both. In any case, if you opt to include type in the identifiers you issue, avoid relying on type for uniqueness: that is to say once a local identifier </w:t>
      </w:r>
      <w:proofErr w:type="spellStart"/>
      <w:r>
        <w:t>eg</w:t>
      </w:r>
      <w:proofErr w:type="spellEnd"/>
      <w:r>
        <w:t xml:space="preserve">. </w:t>
      </w:r>
      <w:r>
        <w:rPr>
          <w:rFonts w:ascii="Consolas" w:eastAsia="Consolas" w:hAnsi="Consolas" w:cs="Consolas"/>
        </w:rPr>
        <w:t>12345</w:t>
      </w:r>
      <w:r>
        <w:t xml:space="preserve"> is assigned, it should never be recycled for another entity, even an entity of a different type for instance </w:t>
      </w:r>
      <w:r>
        <w:rPr>
          <w:rFonts w:ascii="Consolas" w:eastAsia="Consolas" w:hAnsi="Consolas" w:cs="Consolas"/>
        </w:rPr>
        <w:t>.../gene/12345</w:t>
      </w:r>
      <w:r>
        <w:t xml:space="preserve"> and </w:t>
      </w:r>
      <w:r>
        <w:rPr>
          <w:rFonts w:ascii="Consolas" w:eastAsia="Consolas" w:hAnsi="Consolas" w:cs="Consolas"/>
        </w:rPr>
        <w:t>.../patient/12345</w:t>
      </w:r>
      <w:r>
        <w:t>.</w:t>
      </w:r>
    </w:p>
    <w:p w14:paraId="15AB6F53" w14:textId="77777777" w:rsidR="00317BE3" w:rsidRDefault="00317BE3" w:rsidP="00EA2A5C">
      <w:pPr>
        <w:pStyle w:val="normal0"/>
      </w:pPr>
    </w:p>
    <w:p w14:paraId="6CDA841D" w14:textId="77777777" w:rsidR="00317BE3" w:rsidRDefault="00A53922" w:rsidP="00EA2A5C">
      <w:pPr>
        <w:pStyle w:val="normal0"/>
      </w:pPr>
      <w:r>
        <w:t xml:space="preserve">If you need the ability to convey meaning in a dense character space, you don’t need to do so in the identifier itself; consider instead implementing an entity </w:t>
      </w:r>
      <w:r>
        <w:rPr>
          <w:rFonts w:ascii="Consolas" w:eastAsia="Consolas" w:hAnsi="Consolas" w:cs="Consolas"/>
        </w:rPr>
        <w:t>label</w:t>
      </w:r>
      <w:r>
        <w:t>, for instance as is done in model organism nomenclature (</w:t>
      </w:r>
      <w:r>
        <w:rPr>
          <w:rFonts w:ascii="Consolas" w:eastAsia="Consolas" w:hAnsi="Consolas" w:cs="Consolas"/>
        </w:rPr>
        <w:t xml:space="preserve">label: </w:t>
      </w:r>
      <w:hyperlink r:id="rId43">
        <w:proofErr w:type="spellStart"/>
        <w:r>
          <w:rPr>
            <w:rFonts w:ascii="Consolas" w:eastAsia="Consolas" w:hAnsi="Consolas" w:cs="Consolas"/>
            <w:highlight w:val="white"/>
          </w:rPr>
          <w:t>Kit</w:t>
        </w:r>
      </w:hyperlink>
      <w:hyperlink r:id="rId44">
        <w:r>
          <w:rPr>
            <w:rFonts w:ascii="Consolas" w:eastAsia="Consolas" w:hAnsi="Consolas" w:cs="Consolas"/>
            <w:highlight w:val="white"/>
            <w:vertAlign w:val="superscript"/>
          </w:rPr>
          <w:t>W</w:t>
        </w:r>
        <w:proofErr w:type="spellEnd"/>
      </w:hyperlink>
      <w:r>
        <w:rPr>
          <w:rFonts w:ascii="Consolas" w:eastAsia="Consolas" w:hAnsi="Consolas" w:cs="Consolas"/>
          <w:highlight w:val="white"/>
        </w:rPr>
        <w:t>/</w:t>
      </w:r>
      <w:hyperlink r:id="rId45">
        <w:proofErr w:type="spellStart"/>
        <w:r>
          <w:rPr>
            <w:rFonts w:ascii="Consolas" w:eastAsia="Consolas" w:hAnsi="Consolas" w:cs="Consolas"/>
            <w:highlight w:val="white"/>
          </w:rPr>
          <w:t>Kit</w:t>
        </w:r>
      </w:hyperlink>
      <w:hyperlink r:id="rId46">
        <w:r>
          <w:rPr>
            <w:rFonts w:ascii="Consolas" w:eastAsia="Consolas" w:hAnsi="Consolas" w:cs="Consolas"/>
            <w:highlight w:val="white"/>
            <w:vertAlign w:val="superscript"/>
          </w:rPr>
          <w:t>W</w:t>
        </w:r>
        <w:proofErr w:type="spellEnd"/>
        <w:r>
          <w:rPr>
            <w:rFonts w:ascii="Consolas" w:eastAsia="Consolas" w:hAnsi="Consolas" w:cs="Consolas"/>
            <w:highlight w:val="white"/>
            <w:vertAlign w:val="superscript"/>
          </w:rPr>
          <w:t>-v</w:t>
        </w:r>
      </w:hyperlink>
      <w:r>
        <w:rPr>
          <w:rFonts w:ascii="Consolas" w:eastAsia="Consolas" w:hAnsi="Consolas" w:cs="Consolas"/>
        </w:rPr>
        <w:t>, id: MGI:2171276). Labels</w:t>
      </w:r>
      <w:r>
        <w:t xml:space="preserve"> are for human readability only; even if they are deemed durable, labels should not be treated as identifiers, nor should they appear within HTTP URIs. URI patterns, if type-specific, require a corresponding type-specific </w:t>
      </w:r>
      <w:r>
        <w:rPr>
          <w:rFonts w:ascii="Consolas" w:eastAsia="Consolas" w:hAnsi="Consolas" w:cs="Consolas"/>
        </w:rPr>
        <w:t>prefix</w:t>
      </w:r>
      <w:r>
        <w:t xml:space="preserve"> (e.g. LINCS-cell corresponds to </w:t>
      </w:r>
      <w:hyperlink r:id="rId47">
        <w:r>
          <w:rPr>
            <w:rFonts w:ascii="Consolas" w:eastAsia="Consolas" w:hAnsi="Consolas" w:cs="Consolas"/>
            <w:color w:val="1155CC"/>
            <w:sz w:val="20"/>
            <w:szCs w:val="20"/>
            <w:highlight w:val="white"/>
            <w:u w:val="single"/>
          </w:rPr>
          <w:t>http://lincs.hms.harvard.edu/db/cells/$id/</w:t>
        </w:r>
      </w:hyperlink>
      <w:r>
        <w:t xml:space="preserve"> whereas LINCS-protein corresponds to </w:t>
      </w:r>
      <w:hyperlink r:id="rId48">
        <w:r>
          <w:rPr>
            <w:rFonts w:ascii="Consolas" w:eastAsia="Consolas" w:hAnsi="Consolas" w:cs="Consolas"/>
            <w:color w:val="1155CC"/>
            <w:sz w:val="20"/>
            <w:szCs w:val="20"/>
            <w:highlight w:val="white"/>
            <w:u w:val="single"/>
          </w:rPr>
          <w:t>http://lincs.hms.harvard.edu/db/proteins/$id/</w:t>
        </w:r>
      </w:hyperlink>
      <w:r>
        <w:t xml:space="preserve">). MGI implements both type-agnostic resolution </w:t>
      </w:r>
      <w:r>
        <w:lastRenderedPageBreak/>
        <w:t>(</w:t>
      </w:r>
      <w:hyperlink r:id="rId49">
        <w:r>
          <w:rPr>
            <w:rFonts w:ascii="Consolas" w:eastAsia="Consolas" w:hAnsi="Consolas" w:cs="Consolas"/>
            <w:color w:val="1155CC"/>
            <w:sz w:val="20"/>
            <w:szCs w:val="20"/>
            <w:u w:val="single"/>
          </w:rPr>
          <w:t>http://www.informatics.jax.org/accession/MGI:2442292</w:t>
        </w:r>
      </w:hyperlink>
      <w:r>
        <w:t>) and type-specific destinations (</w:t>
      </w:r>
      <w:hyperlink r:id="rId50">
        <w:r>
          <w:rPr>
            <w:rFonts w:ascii="Consolas" w:eastAsia="Consolas" w:hAnsi="Consolas" w:cs="Consolas"/>
            <w:color w:val="1155CC"/>
            <w:sz w:val="20"/>
            <w:szCs w:val="20"/>
            <w:u w:val="single"/>
          </w:rPr>
          <w:t>http://www.informatics.jax.org/marker/MGI:2442292</w:t>
        </w:r>
      </w:hyperlink>
      <w:r>
        <w:t xml:space="preserve">). Dual approaches like theirs can be helpful to different kinds of consumers: type-agnostic resolution is useful in cases such as data citation in the literature where a) the type of the identified entity is not of primary importance, or b) the type of the entity is already conveyed contextually, and/or c) where resolution is done systematically at scale and/or involves many and varied or volunteer contributors that may be difficult to coordinate. Type-specific resolution is useful in cases like </w:t>
      </w:r>
      <w:proofErr w:type="spellStart"/>
      <w:r>
        <w:t>bioinformatic</w:t>
      </w:r>
      <w:proofErr w:type="spellEnd"/>
      <w:r>
        <w:t xml:space="preserve"> research pipelines where embedded type may facilitate the human-led debugging process. If you support both kinds of resolution, it is best to document whether you intend for both to be treated as persistent. </w:t>
      </w:r>
    </w:p>
    <w:p w14:paraId="160B38E2" w14:textId="77777777" w:rsidR="00317BE3" w:rsidRPr="00EA2A5C" w:rsidRDefault="00317BE3" w:rsidP="00EA2A5C">
      <w:pPr>
        <w:pStyle w:val="normal0"/>
        <w:rPr>
          <w:sz w:val="12"/>
          <w:szCs w:val="12"/>
        </w:rPr>
      </w:pPr>
    </w:p>
    <w:p w14:paraId="479202C1" w14:textId="77777777" w:rsidR="00317BE3" w:rsidRDefault="00A53922" w:rsidP="00EA2A5C">
      <w:pPr>
        <w:pStyle w:val="normal0"/>
      </w:pPr>
      <w:r>
        <w:t xml:space="preserve">Whether or not your URIs or your </w:t>
      </w:r>
      <w:r>
        <w:rPr>
          <w:rFonts w:ascii="Consolas" w:eastAsia="Consolas" w:hAnsi="Consolas" w:cs="Consolas"/>
        </w:rPr>
        <w:t>Local IDs</w:t>
      </w:r>
      <w:r>
        <w:t xml:space="preserve"> include type, you should provide other ways for humans and machines to determine the type of entity that is being identified; this is most often achieved via </w:t>
      </w:r>
      <w:proofErr w:type="spellStart"/>
      <w:r>
        <w:t>webservices</w:t>
      </w:r>
      <w:proofErr w:type="spellEnd"/>
      <w:r>
        <w:t xml:space="preserve"> (</w:t>
      </w:r>
      <w:proofErr w:type="spellStart"/>
      <w:r>
        <w:t>eg</w:t>
      </w:r>
      <w:proofErr w:type="spellEnd"/>
      <w:r>
        <w:t xml:space="preserve">. </w:t>
      </w:r>
      <w:hyperlink r:id="rId51">
        <w:r>
          <w:rPr>
            <w:color w:val="1155CC"/>
            <w:u w:val="single"/>
          </w:rPr>
          <w:t>as done via Monarch API</w:t>
        </w:r>
      </w:hyperlink>
      <w:r>
        <w:t>), but ideally also within metadata landing pages [</w:t>
      </w:r>
      <w:hyperlink r:id="rId52">
        <w:r>
          <w:rPr>
            <w:color w:val="1155CC"/>
            <w:u w:val="single"/>
          </w:rPr>
          <w:t>7</w:t>
        </w:r>
      </w:hyperlink>
      <w:r>
        <w:t>][</w:t>
      </w:r>
      <w:hyperlink r:id="rId53">
        <w:r>
          <w:rPr>
            <w:color w:val="1155CC"/>
            <w:u w:val="single"/>
          </w:rPr>
          <w:t>23</w:t>
        </w:r>
      </w:hyperlink>
      <w:r>
        <w:t>] if provided.</w:t>
      </w:r>
    </w:p>
    <w:p w14:paraId="478078FC" w14:textId="77777777" w:rsidR="00317BE3" w:rsidRDefault="00A53922" w:rsidP="00EA2A5C">
      <w:pPr>
        <w:pStyle w:val="Heading2"/>
      </w:pPr>
      <w:bookmarkStart w:id="9" w:name="_2w9ioqteqezx" w:colFirst="0" w:colLast="0"/>
      <w:bookmarkEnd w:id="9"/>
      <w:r>
        <w:t>5. Opt for simple, durable web resolution</w:t>
      </w:r>
    </w:p>
    <w:p w14:paraId="26AE3157" w14:textId="77777777" w:rsidR="00317BE3" w:rsidRDefault="00A53922" w:rsidP="00EA2A5C">
      <w:pPr>
        <w:pStyle w:val="normal0"/>
      </w:pPr>
      <w:r>
        <w:t xml:space="preserve">If you are a database provider, you must implement an </w:t>
      </w:r>
      <w:r>
        <w:rPr>
          <w:rFonts w:ascii="Consolas" w:eastAsia="Consolas" w:hAnsi="Consolas" w:cs="Consolas"/>
        </w:rPr>
        <w:t>HTTP URI pattern</w:t>
      </w:r>
      <w:r>
        <w:t xml:space="preserve"> (</w:t>
      </w:r>
      <w:r>
        <w:rPr>
          <w:b/>
        </w:rPr>
        <w:t>Fig. 1 panel B</w:t>
      </w:r>
      <w:r>
        <w:t>) for local identifiers to be “resolvable” to a web page. If you choose to outsource to a resolver service, use an approach that adheres to best practice [</w:t>
      </w:r>
      <w:hyperlink r:id="rId54">
        <w:r>
          <w:rPr>
            <w:color w:val="1155CC"/>
            <w:u w:val="single"/>
          </w:rPr>
          <w:t>7</w:t>
        </w:r>
      </w:hyperlink>
      <w:r>
        <w:t>] (e.g. DOI (</w:t>
      </w:r>
      <w:hyperlink r:id="rId55">
        <w:proofErr w:type="spellStart"/>
        <w:r>
          <w:rPr>
            <w:color w:val="1155CC"/>
            <w:u w:val="single"/>
          </w:rPr>
          <w:t>DataCite</w:t>
        </w:r>
        <w:proofErr w:type="spellEnd"/>
      </w:hyperlink>
      <w:r>
        <w:t xml:space="preserve">, </w:t>
      </w:r>
      <w:hyperlink r:id="rId56">
        <w:proofErr w:type="spellStart"/>
        <w:r>
          <w:rPr>
            <w:color w:val="1155CC"/>
            <w:u w:val="single"/>
          </w:rPr>
          <w:t>CrossRef</w:t>
        </w:r>
        <w:proofErr w:type="spellEnd"/>
      </w:hyperlink>
      <w:r>
        <w:t xml:space="preserve">), </w:t>
      </w:r>
      <w:hyperlink r:id="rId57">
        <w:r>
          <w:rPr>
            <w:color w:val="1155CC"/>
            <w:u w:val="single"/>
          </w:rPr>
          <w:t>Identifiers.org</w:t>
        </w:r>
      </w:hyperlink>
      <w:r>
        <w:t xml:space="preserve">, </w:t>
      </w:r>
      <w:hyperlink r:id="rId58">
        <w:r>
          <w:rPr>
            <w:color w:val="1155CC"/>
            <w:u w:val="single"/>
          </w:rPr>
          <w:t>Handle.net</w:t>
        </w:r>
      </w:hyperlink>
      <w:r>
        <w:t xml:space="preserve">, </w:t>
      </w:r>
      <w:hyperlink r:id="rId59">
        <w:r>
          <w:rPr>
            <w:color w:val="1155CC"/>
            <w:u w:val="single"/>
          </w:rPr>
          <w:t>PURL</w:t>
        </w:r>
      </w:hyperlink>
      <w:r>
        <w:t xml:space="preserve"> (now via </w:t>
      </w:r>
      <w:proofErr w:type="spellStart"/>
      <w:r>
        <w:t>InternetArchive</w:t>
      </w:r>
      <w:proofErr w:type="spellEnd"/>
      <w:r>
        <w:t xml:space="preserve">), </w:t>
      </w:r>
      <w:hyperlink r:id="rId60">
        <w:r>
          <w:rPr>
            <w:color w:val="1155CC"/>
            <w:u w:val="single"/>
          </w:rPr>
          <w:t>EPIC</w:t>
        </w:r>
      </w:hyperlink>
      <w:r>
        <w:t xml:space="preserve">, </w:t>
      </w:r>
      <w:hyperlink r:id="rId61">
        <w:r>
          <w:rPr>
            <w:color w:val="1155CC"/>
            <w:u w:val="single"/>
          </w:rPr>
          <w:t>ARK</w:t>
        </w:r>
      </w:hyperlink>
      <w:r>
        <w:t xml:space="preserve">) and be mindful of your constraints regarding cost, metadata ownership, turnaround time, etc. (See </w:t>
      </w:r>
      <w:r>
        <w:rPr>
          <w:b/>
        </w:rPr>
        <w:t xml:space="preserve">Text S4 </w:t>
      </w:r>
      <w:r>
        <w:t xml:space="preserve">for a more comprehensive list of considerations.) Some of these resolver services can even provide </w:t>
      </w:r>
      <w:r>
        <w:rPr>
          <w:rFonts w:ascii="Consolas" w:eastAsia="Consolas" w:hAnsi="Consolas" w:cs="Consolas"/>
        </w:rPr>
        <w:t>content negotiation</w:t>
      </w:r>
      <w:r>
        <w:t xml:space="preserve"> for different encodings of your data [</w:t>
      </w:r>
      <w:hyperlink r:id="rId62">
        <w:r>
          <w:rPr>
            <w:color w:val="0000FF"/>
            <w:u w:val="single"/>
          </w:rPr>
          <w:t>7</w:t>
        </w:r>
      </w:hyperlink>
      <w:r>
        <w:t>] and make it easier to provide direct access to data, metadata, and persistence statements [</w:t>
      </w:r>
      <w:hyperlink r:id="rId63">
        <w:r>
          <w:rPr>
            <w:color w:val="0000FF"/>
            <w:u w:val="single"/>
          </w:rPr>
          <w:t>23</w:t>
        </w:r>
      </w:hyperlink>
      <w:r>
        <w:t>]. If you have the resources to support your own persistent URIs, design these to be “cool”[</w:t>
      </w:r>
      <w:hyperlink r:id="rId64">
        <w:r>
          <w:rPr>
            <w:color w:val="0000FF"/>
            <w:u w:val="single"/>
          </w:rPr>
          <w:t>15</w:t>
        </w:r>
      </w:hyperlink>
      <w:r>
        <w:t>]; this is most easily achieved by keeping them simple. Omit anything that is likely to change or lapse, including administrative details (e.g. grant name) or implementation details such as file extensions (‘</w:t>
      </w:r>
      <w:r>
        <w:rPr>
          <w:rFonts w:ascii="Consolas" w:eastAsia="Consolas" w:hAnsi="Consolas" w:cs="Consolas"/>
        </w:rPr>
        <w:t>resource.html</w:t>
      </w:r>
      <w:r>
        <w:t>’), query strings (‘</w:t>
      </w:r>
      <w:proofErr w:type="spellStart"/>
      <w:r>
        <w:rPr>
          <w:rFonts w:ascii="Consolas" w:eastAsia="Consolas" w:hAnsi="Consolas" w:cs="Consolas"/>
        </w:rPr>
        <w:t>param</w:t>
      </w:r>
      <w:proofErr w:type="spellEnd"/>
      <w:r>
        <w:rPr>
          <w:rFonts w:ascii="Consolas" w:eastAsia="Consolas" w:hAnsi="Consolas" w:cs="Consolas"/>
        </w:rPr>
        <w:t>=value</w:t>
      </w:r>
      <w:r>
        <w:t>’), and technology choices (‘</w:t>
      </w:r>
      <w:proofErr w:type="gramStart"/>
      <w:r>
        <w:rPr>
          <w:rFonts w:ascii="Consolas" w:eastAsia="Consolas" w:hAnsi="Consolas" w:cs="Consolas"/>
        </w:rPr>
        <w:t>.</w:t>
      </w:r>
      <w:proofErr w:type="spellStart"/>
      <w:r>
        <w:rPr>
          <w:rFonts w:ascii="Consolas" w:eastAsia="Consolas" w:hAnsi="Consolas" w:cs="Consolas"/>
        </w:rPr>
        <w:t>php</w:t>
      </w:r>
      <w:proofErr w:type="spellEnd"/>
      <w:r>
        <w:t>’</w:t>
      </w:r>
      <w:proofErr w:type="gramEnd"/>
      <w:r>
        <w:t>). Never embed</w:t>
      </w:r>
      <w:r>
        <w:rPr>
          <w:color w:val="6AA84F"/>
        </w:rPr>
        <w:t xml:space="preserve"> </w:t>
      </w:r>
      <w:r>
        <w:t xml:space="preserve">the local-id in the query part of a URI </w:t>
      </w:r>
      <w:proofErr w:type="spellStart"/>
      <w:r>
        <w:t>eg</w:t>
      </w:r>
      <w:proofErr w:type="spellEnd"/>
      <w:r>
        <w:t xml:space="preserve">. </w:t>
      </w:r>
      <w:hyperlink r:id="rId65">
        <w:r>
          <w:rPr>
            <w:rFonts w:ascii="Consolas" w:eastAsia="Consolas" w:hAnsi="Consolas" w:cs="Consolas"/>
            <w:color w:val="1155CC"/>
            <w:sz w:val="20"/>
            <w:szCs w:val="20"/>
            <w:u w:val="single"/>
          </w:rPr>
          <w:t>http://</w:t>
        </w:r>
      </w:hyperlink>
      <w:hyperlink r:id="rId66">
        <w:r>
          <w:rPr>
            <w:rFonts w:ascii="Consolas" w:eastAsia="Consolas" w:hAnsi="Consolas" w:cs="Consolas"/>
            <w:color w:val="1155CC"/>
            <w:sz w:val="20"/>
            <w:szCs w:val="20"/>
            <w:u w:val="single"/>
          </w:rPr>
          <w:t>example.com/ex</w:t>
        </w:r>
      </w:hyperlink>
      <w:hyperlink r:id="rId67">
        <w:r>
          <w:rPr>
            <w:rFonts w:ascii="Consolas" w:eastAsia="Consolas" w:hAnsi="Consolas" w:cs="Consolas"/>
            <w:color w:val="1155CC"/>
            <w:sz w:val="20"/>
            <w:szCs w:val="20"/>
            <w:u w:val="single"/>
          </w:rPr>
          <w:t>plore?record=A123456</w:t>
        </w:r>
      </w:hyperlink>
      <w:r>
        <w:t xml:space="preserve">. Make every attempt to limit the degree of path </w:t>
      </w:r>
      <w:proofErr w:type="spellStart"/>
      <w:r>
        <w:t>nestedness</w:t>
      </w:r>
      <w:proofErr w:type="spellEnd"/>
      <w:r>
        <w:t xml:space="preserve"> (</w:t>
      </w:r>
      <w:proofErr w:type="spellStart"/>
      <w:r>
        <w:t>eg</w:t>
      </w:r>
      <w:proofErr w:type="spellEnd"/>
      <w:r>
        <w:t xml:space="preserve">. do </w:t>
      </w:r>
      <w:hyperlink r:id="rId68">
        <w:r>
          <w:rPr>
            <w:rFonts w:ascii="Consolas" w:eastAsia="Consolas" w:hAnsi="Consolas" w:cs="Consolas"/>
            <w:color w:val="1155CC"/>
            <w:sz w:val="20"/>
            <w:szCs w:val="20"/>
            <w:u w:val="single"/>
          </w:rPr>
          <w:t>http://example.com/A123456</w:t>
        </w:r>
      </w:hyperlink>
      <w:r>
        <w:t xml:space="preserve"> rather than</w:t>
      </w:r>
      <w:r>
        <w:rPr>
          <w:color w:val="6AA84F"/>
        </w:rPr>
        <w:t xml:space="preserve"> </w:t>
      </w:r>
      <w:hyperlink r:id="rId69">
        <w:r>
          <w:rPr>
            <w:rFonts w:ascii="Consolas" w:eastAsia="Consolas" w:hAnsi="Consolas" w:cs="Consolas"/>
            <w:color w:val="1155CC"/>
            <w:sz w:val="20"/>
            <w:szCs w:val="20"/>
            <w:u w:val="single"/>
          </w:rPr>
          <w:t>http://example.com/vertebrates/mammals/rodents/rat/white-rat/A123456</w:t>
        </w:r>
      </w:hyperlink>
      <w:r>
        <w:t xml:space="preserve">); see also lesson 4 above regarding types. The compact URI approach can work with any resolver(s): see for instance examples 4 and 5 in </w:t>
      </w:r>
      <w:r>
        <w:rPr>
          <w:b/>
        </w:rPr>
        <w:t>Figure 2</w:t>
      </w:r>
      <w:r>
        <w:t xml:space="preserve">. By choosing a single </w:t>
      </w:r>
      <w:r>
        <w:rPr>
          <w:rFonts w:ascii="Consolas" w:eastAsia="Consolas" w:hAnsi="Consolas" w:cs="Consolas"/>
        </w:rPr>
        <w:t>URI pattern</w:t>
      </w:r>
      <w:r>
        <w:t>, you make it possible for others to resolve your identifiers simply (</w:t>
      </w:r>
      <w:r>
        <w:rPr>
          <w:b/>
        </w:rPr>
        <w:t>Fig. 2 panel A</w:t>
      </w:r>
      <w:r>
        <w:t xml:space="preserve">). In all cases, the </w:t>
      </w:r>
      <w:r>
        <w:rPr>
          <w:rFonts w:ascii="Consolas" w:eastAsia="Consolas" w:hAnsi="Consolas" w:cs="Consolas"/>
        </w:rPr>
        <w:t>URI pattern</w:t>
      </w:r>
      <w:r>
        <w:t xml:space="preserve"> must include the protocol (e.g. http://) and, if applicable, trailing slash or other delimiters. Trailing characters are discouraged as they unnecessarily increase the variability with which the identifier is represented and also complicate straightforward appending of the local ID (requiring that tokens such as </w:t>
      </w:r>
      <w:r>
        <w:rPr>
          <w:rFonts w:ascii="Consolas" w:eastAsia="Consolas" w:hAnsi="Consolas" w:cs="Consolas"/>
        </w:rPr>
        <w:t>$id</w:t>
      </w:r>
      <w:r>
        <w:t xml:space="preserve"> hold the place of the local ID in the URI pattern </w:t>
      </w:r>
      <w:proofErr w:type="spellStart"/>
      <w:r>
        <w:t>eg</w:t>
      </w:r>
      <w:proofErr w:type="spellEnd"/>
      <w:r>
        <w:t xml:space="preserve"> </w:t>
      </w:r>
      <w:hyperlink r:id="rId70">
        <w:r>
          <w:rPr>
            <w:rFonts w:ascii="Consolas" w:eastAsia="Consolas" w:hAnsi="Consolas" w:cs="Consolas"/>
            <w:color w:val="1155CC"/>
            <w:sz w:val="20"/>
            <w:szCs w:val="20"/>
            <w:u w:val="single"/>
          </w:rPr>
          <w:t>http://example.com/$id/view.do</w:t>
        </w:r>
      </w:hyperlink>
      <w:r>
        <w:t>). Despite their differences, the examples in Fig. 2 share the most important features; each: 1) has a simple, durable mechanism for resolution, 2) has an HTTP URI that includes the local ID with no modification, 3) omits volatile meaning (or all meaning) from the local ID and from the HTTP URI.</w:t>
      </w:r>
    </w:p>
    <w:p w14:paraId="03A7AFA0" w14:textId="77777777" w:rsidR="00317BE3" w:rsidRDefault="00EA2A5C" w:rsidP="00EA2A5C">
      <w:pPr>
        <w:pStyle w:val="normal0"/>
      </w:pPr>
      <w:r>
        <w:rPr>
          <w:noProof/>
        </w:rPr>
        <w:drawing>
          <wp:inline distT="0" distB="0" distL="0" distR="0" wp14:anchorId="2B1EFE58" wp14:editId="5F103AAD">
            <wp:extent cx="6860540" cy="2063750"/>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71">
                      <a:extLst>
                        <a:ext uri="{28A0092B-C50C-407E-A947-70E740481C1C}">
                          <a14:useLocalDpi xmlns:a14="http://schemas.microsoft.com/office/drawing/2010/main" val="0"/>
                        </a:ext>
                      </a:extLst>
                    </a:blip>
                    <a:srcRect/>
                    <a:stretch>
                      <a:fillRect/>
                    </a:stretch>
                  </pic:blipFill>
                  <pic:spPr>
                    <a:xfrm>
                      <a:off x="0" y="0"/>
                      <a:ext cx="6860540" cy="2063750"/>
                    </a:xfrm>
                    <a:prstGeom prst="rect">
                      <a:avLst/>
                    </a:prstGeom>
                    <a:ln/>
                  </pic:spPr>
                </pic:pic>
              </a:graphicData>
            </a:graphic>
          </wp:inline>
        </w:drawing>
      </w:r>
    </w:p>
    <w:p w14:paraId="53093882" w14:textId="77777777" w:rsidR="00317BE3" w:rsidRDefault="00A53922" w:rsidP="00EA2A5C">
      <w:pPr>
        <w:pStyle w:val="normal0"/>
      </w:pPr>
      <w:bookmarkStart w:id="10" w:name="_4d34og8" w:colFirst="0" w:colLast="0"/>
      <w:bookmarkEnd w:id="10"/>
      <w:r>
        <w:rPr>
          <w:b/>
        </w:rPr>
        <w:t xml:space="preserve">Fig. 2. Examples of provisioning resolvable URIs: </w:t>
      </w:r>
    </w:p>
    <w:p w14:paraId="23C9B396" w14:textId="77777777" w:rsidR="00317BE3" w:rsidRDefault="00A53922" w:rsidP="00EA2A5C">
      <w:pPr>
        <w:pStyle w:val="normal0"/>
        <w:widowControl w:val="0"/>
        <w:spacing w:line="200" w:lineRule="exact"/>
      </w:pPr>
      <w:r>
        <w:rPr>
          <w:sz w:val="20"/>
          <w:szCs w:val="20"/>
        </w:rPr>
        <w:t>Compact URIs (CURIEs) (Panel A), URIs (Panel B) and Access URLs (Panel C) with no redirection (ZFIN), in house redirection (</w:t>
      </w:r>
      <w:proofErr w:type="spellStart"/>
      <w:r>
        <w:rPr>
          <w:sz w:val="20"/>
          <w:szCs w:val="20"/>
        </w:rPr>
        <w:t>UniProt</w:t>
      </w:r>
      <w:proofErr w:type="spellEnd"/>
      <w:r>
        <w:rPr>
          <w:sz w:val="20"/>
          <w:szCs w:val="20"/>
        </w:rPr>
        <w:t xml:space="preserve">, and ENSEMBL), and 3rd party resolvers (using identifiers.org and DOI). In each case, the URI can be algorithmically derived from the CURIE because the </w:t>
      </w:r>
      <w:r>
        <w:rPr>
          <w:rFonts w:ascii="Consolas" w:eastAsia="Consolas" w:hAnsi="Consolas" w:cs="Consolas"/>
          <w:b/>
          <w:sz w:val="20"/>
          <w:szCs w:val="20"/>
        </w:rPr>
        <w:t>Local ID</w:t>
      </w:r>
      <w:r>
        <w:rPr>
          <w:sz w:val="20"/>
          <w:szCs w:val="20"/>
        </w:rPr>
        <w:t xml:space="preserve"> portion itself is included (unmodified) within the URI. Access URL design patterns differ substantially by provider and may change over time. As long as </w:t>
      </w:r>
      <w:r>
        <w:rPr>
          <w:rFonts w:ascii="Consolas" w:eastAsia="Consolas" w:hAnsi="Consolas" w:cs="Consolas"/>
          <w:sz w:val="20"/>
          <w:szCs w:val="20"/>
        </w:rPr>
        <w:t>access URLs</w:t>
      </w:r>
      <w:r>
        <w:rPr>
          <w:sz w:val="20"/>
          <w:szCs w:val="20"/>
        </w:rPr>
        <w:t xml:space="preserve"> are not </w:t>
      </w:r>
      <w:r>
        <w:rPr>
          <w:sz w:val="20"/>
          <w:szCs w:val="20"/>
        </w:rPr>
        <w:lastRenderedPageBreak/>
        <w:t xml:space="preserve">used as the referenced </w:t>
      </w:r>
      <w:r w:rsidR="00EA2A5C">
        <w:rPr>
          <w:sz w:val="20"/>
          <w:szCs w:val="20"/>
        </w:rPr>
        <w:t>ID</w:t>
      </w:r>
      <w:r>
        <w:rPr>
          <w:sz w:val="20"/>
          <w:szCs w:val="20"/>
        </w:rPr>
        <w:t>, it does not matter whether they 1) contain a prefix and colon (MGI), or not (</w:t>
      </w:r>
      <w:proofErr w:type="spellStart"/>
      <w:r>
        <w:rPr>
          <w:sz w:val="20"/>
          <w:szCs w:val="20"/>
        </w:rPr>
        <w:t>Ensembl</w:t>
      </w:r>
      <w:proofErr w:type="spellEnd"/>
      <w:r>
        <w:rPr>
          <w:sz w:val="20"/>
          <w:szCs w:val="20"/>
        </w:rPr>
        <w:t>), nor 2) whether they contain the entire</w:t>
      </w:r>
      <w:r>
        <w:rPr>
          <w:rFonts w:ascii="Consolas" w:eastAsia="Consolas" w:hAnsi="Consolas" w:cs="Consolas"/>
          <w:sz w:val="20"/>
          <w:szCs w:val="20"/>
        </w:rPr>
        <w:t xml:space="preserve"> local ID</w:t>
      </w:r>
      <w:r>
        <w:rPr>
          <w:sz w:val="20"/>
          <w:szCs w:val="20"/>
        </w:rPr>
        <w:t xml:space="preserve"> (</w:t>
      </w:r>
      <w:proofErr w:type="spellStart"/>
      <w:r>
        <w:rPr>
          <w:sz w:val="20"/>
          <w:szCs w:val="20"/>
        </w:rPr>
        <w:t>Biosample</w:t>
      </w:r>
      <w:proofErr w:type="spellEnd"/>
      <w:r>
        <w:rPr>
          <w:sz w:val="20"/>
          <w:szCs w:val="20"/>
        </w:rPr>
        <w:t xml:space="preserve">) or not (DOI), nor 3) whether they include type (MGI) or not (ZFIN). </w:t>
      </w:r>
    </w:p>
    <w:p w14:paraId="28452693" w14:textId="77777777" w:rsidR="00317BE3" w:rsidRDefault="00A53922" w:rsidP="00EA2A5C">
      <w:pPr>
        <w:pStyle w:val="Heading2"/>
      </w:pPr>
      <w:bookmarkStart w:id="11" w:name="_17dp8vu" w:colFirst="0" w:colLast="0"/>
      <w:bookmarkStart w:id="12" w:name="_3rdcrjn" w:colFirst="0" w:colLast="0"/>
      <w:bookmarkEnd w:id="11"/>
      <w:bookmarkEnd w:id="12"/>
      <w:r>
        <w:t>6. Implement a version-management policy</w:t>
      </w:r>
    </w:p>
    <w:p w14:paraId="7FE5A1AD" w14:textId="77777777" w:rsidR="00317BE3" w:rsidRDefault="00A53922" w:rsidP="00EA2A5C">
      <w:pPr>
        <w:pStyle w:val="normal0"/>
      </w:pPr>
      <w:r>
        <w:t xml:space="preserve">Changes in data resources impact how they can be referenced and used. Document your chosen version management practice: If you issue identifiers, document the change history for the resource (see also </w:t>
      </w:r>
      <w:r>
        <w:rPr>
          <w:b/>
        </w:rPr>
        <w:t>Lesson 8</w:t>
      </w:r>
      <w:r>
        <w:t xml:space="preserve">), or version the identifier itself, or do both. </w:t>
      </w:r>
    </w:p>
    <w:p w14:paraId="2778669B" w14:textId="77777777" w:rsidR="00317BE3" w:rsidRDefault="00317BE3" w:rsidP="00EA2A5C">
      <w:pPr>
        <w:pStyle w:val="normal0"/>
      </w:pPr>
    </w:p>
    <w:p w14:paraId="51050C6B" w14:textId="77777777" w:rsidR="00317BE3" w:rsidRDefault="00A53922" w:rsidP="00EA2A5C">
      <w:pPr>
        <w:pStyle w:val="normal0"/>
      </w:pPr>
      <w:r>
        <w:t xml:space="preserve">Explicit identifier versioning is recommended if the prevailing use of an </w:t>
      </w:r>
      <w:proofErr w:type="spellStart"/>
      <w:r>
        <w:rPr>
          <w:i/>
        </w:rPr>
        <w:t>unversioned</w:t>
      </w:r>
      <w:proofErr w:type="spellEnd"/>
      <w:r>
        <w:t xml:space="preserve"> identifier results in “breaking changes” (e.g., a change in the hypothesized cause of a disease). However, if new information about the entity emerges slowly and the changes are “non-breaking”, it is reasonable to instead maintain a machine-actionable change history wherein the changes are listed, and where they may also be categorized (</w:t>
      </w:r>
      <w:proofErr w:type="spellStart"/>
      <w:r>
        <w:t>eg</w:t>
      </w:r>
      <w:proofErr w:type="spellEnd"/>
      <w:r>
        <w:t xml:space="preserve">. minor versus major changes). Versioning and change history work well together, especially when multiple types of changes overlap. </w:t>
      </w:r>
      <w:proofErr w:type="gramStart"/>
      <w:r>
        <w:t xml:space="preserve">Even where previous records are entirely removed, the URI should continue to resolve, but to a </w:t>
      </w:r>
      <w:r>
        <w:rPr>
          <w:rFonts w:ascii="Consolas" w:eastAsia="Consolas" w:hAnsi="Consolas" w:cs="Consolas"/>
        </w:rPr>
        <w:t>“tombstone” page</w:t>
      </w:r>
      <w:r>
        <w:t xml:space="preserve"> (</w:t>
      </w:r>
      <w:r>
        <w:rPr>
          <w:b/>
        </w:rPr>
        <w:t>Lesson 8</w:t>
      </w:r>
      <w:r>
        <w:t>).</w:t>
      </w:r>
      <w:proofErr w:type="gramEnd"/>
      <w:r>
        <w:t xml:space="preserve"> </w:t>
      </w:r>
    </w:p>
    <w:p w14:paraId="49BA42FB" w14:textId="77777777" w:rsidR="00317BE3" w:rsidRDefault="00A53922" w:rsidP="00EA2A5C">
      <w:pPr>
        <w:pStyle w:val="normal0"/>
      </w:pPr>
      <w:r>
        <w:t xml:space="preserve"> </w:t>
      </w:r>
    </w:p>
    <w:p w14:paraId="09A8766C" w14:textId="77777777" w:rsidR="00317BE3" w:rsidRDefault="00A53922" w:rsidP="00EA2A5C">
      <w:pPr>
        <w:pStyle w:val="normal0"/>
      </w:pPr>
      <w:r>
        <w:t xml:space="preserve">There are two approaches to </w:t>
      </w:r>
      <w:proofErr w:type="gramStart"/>
      <w:r>
        <w:t>versioning,</w:t>
      </w:r>
      <w:proofErr w:type="gramEnd"/>
      <w:r>
        <w:t xml:space="preserve"> record-level and release level; the latter is more common in the life sciences. If you version at the level of a database release, some reasonable number of prior versions of individual entities should still be resolvable via a versioned URI pattern </w:t>
      </w:r>
      <w:proofErr w:type="spellStart"/>
      <w:r>
        <w:t>eg</w:t>
      </w:r>
      <w:proofErr w:type="spellEnd"/>
      <w:r>
        <w:t xml:space="preserve">. </w:t>
      </w:r>
      <w:hyperlink r:id="rId72">
        <w:r>
          <w:rPr>
            <w:rFonts w:ascii="Arial Narrow" w:eastAsia="Arial Narrow" w:hAnsi="Arial Narrow" w:cs="Arial Narrow"/>
            <w:color w:val="1155CC"/>
            <w:u w:val="single"/>
          </w:rPr>
          <w:t>http://Jul2015.archive.ensembl.org/Mus_musculus/Gene/Summary?g=ENSMUSG00000033577</w:t>
        </w:r>
      </w:hyperlink>
      <w:r>
        <w:rPr>
          <w:rFonts w:ascii="Arial Narrow" w:eastAsia="Arial Narrow" w:hAnsi="Arial Narrow" w:cs="Arial Narrow"/>
        </w:rPr>
        <w:t xml:space="preserve">, </w:t>
      </w:r>
      <w:r>
        <w:t xml:space="preserve">but preferably using an ISO </w:t>
      </w:r>
      <w:proofErr w:type="gramStart"/>
      <w:r>
        <w:t>date</w:t>
      </w:r>
      <w:proofErr w:type="gramEnd"/>
      <w:r>
        <w:t xml:space="preserve"> format or similarly deterministic convention.</w:t>
      </w:r>
    </w:p>
    <w:p w14:paraId="1ED3BB8B" w14:textId="77777777" w:rsidR="00317BE3" w:rsidRDefault="00317BE3" w:rsidP="00EA2A5C">
      <w:pPr>
        <w:pStyle w:val="normal0"/>
      </w:pPr>
    </w:p>
    <w:p w14:paraId="3BCE80B7" w14:textId="77777777" w:rsidR="00317BE3" w:rsidRDefault="00A53922" w:rsidP="00EA2A5C">
      <w:pPr>
        <w:pStyle w:val="normal0"/>
      </w:pPr>
      <w:r>
        <w:t xml:space="preserve">If you version identifiers at the level of the individual record, you should version in the </w:t>
      </w:r>
      <w:r>
        <w:rPr>
          <w:rFonts w:ascii="Consolas" w:eastAsia="Consolas" w:hAnsi="Consolas" w:cs="Consolas"/>
          <w:b/>
          <w:sz w:val="20"/>
          <w:szCs w:val="20"/>
        </w:rPr>
        <w:t>Local ID</w:t>
      </w:r>
      <w:r>
        <w:t xml:space="preserve"> after the ‘dot’, as per </w:t>
      </w:r>
      <w:proofErr w:type="spellStart"/>
      <w:r>
        <w:t>UniProt</w:t>
      </w:r>
      <w:proofErr w:type="spellEnd"/>
      <w:r>
        <w:t xml:space="preserve"> in </w:t>
      </w:r>
      <w:r>
        <w:rPr>
          <w:b/>
        </w:rPr>
        <w:t>Table 3</w:t>
      </w:r>
      <w:r>
        <w:t xml:space="preserve">; this provides continuity in your site and also enables a single </w:t>
      </w:r>
      <w:r>
        <w:rPr>
          <w:rFonts w:ascii="Consolas" w:eastAsia="Consolas" w:hAnsi="Consolas" w:cs="Consolas"/>
        </w:rPr>
        <w:t>prefix</w:t>
      </w:r>
      <w:r>
        <w:t xml:space="preserve"> to be used with any version: UniProt</w:t>
      </w:r>
      <w:proofErr w:type="gramStart"/>
      <w:r>
        <w:t>:P12345.3</w:t>
      </w:r>
      <w:proofErr w:type="gramEnd"/>
      <w:r>
        <w:t xml:space="preserve"> </w:t>
      </w:r>
      <w:r>
        <w:rPr>
          <w:rFonts w:ascii="Wingdings" w:eastAsia="Wingdings" w:hAnsi="Wingdings" w:cs="Wingdings"/>
        </w:rPr>
        <w:t>→</w:t>
      </w:r>
      <w:r>
        <w:rPr>
          <w:b/>
        </w:rPr>
        <w:t xml:space="preserve"> </w:t>
      </w:r>
      <w:hyperlink r:id="rId73">
        <w:r>
          <w:t>http://www.uniprot.org/uniprot/</w:t>
        </w:r>
      </w:hyperlink>
      <w:hyperlink r:id="rId74">
        <w:r>
          <w:t>P12345</w:t>
        </w:r>
      </w:hyperlink>
      <w:hyperlink r:id="rId75">
        <w:r>
          <w:rPr>
            <w:b/>
          </w:rPr>
          <w:t>.3</w:t>
        </w:r>
      </w:hyperlink>
      <w:r>
        <w:rPr>
          <w:b/>
        </w:rPr>
        <w:t xml:space="preserve">. </w:t>
      </w:r>
      <w:r>
        <w:t xml:space="preserve">If dot suffixing is not practicable, we strongly recommend providing a transparent mapping between identifiers as well as a mechanism for obtaining the latest version of the record. See </w:t>
      </w:r>
      <w:proofErr w:type="spellStart"/>
      <w:r>
        <w:t>Kratz</w:t>
      </w:r>
      <w:proofErr w:type="spellEnd"/>
      <w:r>
        <w:t xml:space="preserve"> et al. [</w:t>
      </w:r>
      <w:hyperlink r:id="rId76">
        <w:r>
          <w:rPr>
            <w:color w:val="1155CC"/>
            <w:u w:val="single"/>
          </w:rPr>
          <w:t>24</w:t>
        </w:r>
      </w:hyperlink>
      <w:r>
        <w:t>] for a more in-depth discussion of change management considerations.</w:t>
      </w:r>
      <w:r>
        <w:rPr>
          <w:color w:val="6AA84F"/>
        </w:rPr>
        <w:t xml:space="preserve"> </w:t>
      </w:r>
    </w:p>
    <w:p w14:paraId="7C2CAF50" w14:textId="77777777" w:rsidR="00317BE3" w:rsidRDefault="00317BE3" w:rsidP="00EA2A5C">
      <w:pPr>
        <w:pStyle w:val="normal0"/>
      </w:pPr>
    </w:p>
    <w:p w14:paraId="594E912A" w14:textId="77777777" w:rsidR="00317BE3" w:rsidRDefault="00A53922" w:rsidP="00EA2A5C">
      <w:pPr>
        <w:pStyle w:val="normal0"/>
      </w:pPr>
      <w:r>
        <w:rPr>
          <w:b/>
        </w:rPr>
        <w:t>Table 3. Recommendation for record-level versioning with URIs</w:t>
      </w:r>
    </w:p>
    <w:tbl>
      <w:tblPr>
        <w:tblStyle w:val="a2"/>
        <w:tblW w:w="10770" w:type="dxa"/>
        <w:tblInd w:w="-36" w:type="dxa"/>
        <w:tblBorders>
          <w:top w:val="single" w:sz="8" w:space="0" w:color="666666"/>
          <w:left w:val="single" w:sz="8" w:space="0" w:color="666666"/>
          <w:bottom w:val="single" w:sz="8" w:space="0" w:color="666666"/>
          <w:right w:val="single" w:sz="8" w:space="0" w:color="666666"/>
          <w:insideH w:val="single" w:sz="8" w:space="0" w:color="666666"/>
          <w:insideV w:val="single" w:sz="8" w:space="0" w:color="666666"/>
        </w:tblBorders>
        <w:tblLayout w:type="fixed"/>
        <w:tblLook w:val="0000" w:firstRow="0" w:lastRow="0" w:firstColumn="0" w:lastColumn="0" w:noHBand="0" w:noVBand="0"/>
      </w:tblPr>
      <w:tblGrid>
        <w:gridCol w:w="7155"/>
        <w:gridCol w:w="3615"/>
      </w:tblGrid>
      <w:tr w:rsidR="00317BE3" w14:paraId="02D9DAD9" w14:textId="77777777">
        <w:tc>
          <w:tcPr>
            <w:tcW w:w="7155" w:type="dxa"/>
            <w:tcBorders>
              <w:top w:val="single" w:sz="8" w:space="0" w:color="666666"/>
              <w:left w:val="single" w:sz="8" w:space="0" w:color="666666"/>
              <w:bottom w:val="single" w:sz="8" w:space="0" w:color="666666"/>
              <w:right w:val="single" w:sz="8" w:space="0" w:color="666666"/>
            </w:tcBorders>
            <w:tcMar>
              <w:left w:w="21" w:type="dxa"/>
            </w:tcMar>
          </w:tcPr>
          <w:p w14:paraId="3623D0E6" w14:textId="77777777" w:rsidR="00317BE3" w:rsidRDefault="00A53922" w:rsidP="00EA2A5C">
            <w:pPr>
              <w:pStyle w:val="normal0"/>
              <w:widowControl w:val="0"/>
              <w:jc w:val="left"/>
            </w:pPr>
            <w:r>
              <w:rPr>
                <w:b/>
                <w:sz w:val="20"/>
                <w:szCs w:val="20"/>
              </w:rPr>
              <w:t>Recommendation</w:t>
            </w:r>
          </w:p>
        </w:tc>
        <w:tc>
          <w:tcPr>
            <w:tcW w:w="3615" w:type="dxa"/>
            <w:tcBorders>
              <w:top w:val="single" w:sz="8" w:space="0" w:color="666666"/>
              <w:left w:val="single" w:sz="8" w:space="0" w:color="666666"/>
              <w:bottom w:val="single" w:sz="8" w:space="0" w:color="666666"/>
              <w:right w:val="single" w:sz="8" w:space="0" w:color="666666"/>
            </w:tcBorders>
            <w:tcMar>
              <w:left w:w="21" w:type="dxa"/>
            </w:tcMar>
          </w:tcPr>
          <w:p w14:paraId="1711DCD3" w14:textId="77777777" w:rsidR="00317BE3" w:rsidRDefault="00A53922" w:rsidP="00EA2A5C">
            <w:pPr>
              <w:pStyle w:val="normal0"/>
              <w:widowControl w:val="0"/>
              <w:jc w:val="center"/>
            </w:pPr>
            <w:r>
              <w:rPr>
                <w:b/>
                <w:sz w:val="20"/>
                <w:szCs w:val="20"/>
              </w:rPr>
              <w:t xml:space="preserve">Example </w:t>
            </w:r>
          </w:p>
          <w:p w14:paraId="23515941" w14:textId="77777777" w:rsidR="00317BE3" w:rsidRDefault="00A53922" w:rsidP="00EA2A5C">
            <w:pPr>
              <w:pStyle w:val="normal0"/>
              <w:widowControl w:val="0"/>
              <w:jc w:val="center"/>
            </w:pPr>
            <w:r>
              <w:rPr>
                <w:sz w:val="20"/>
                <w:szCs w:val="20"/>
              </w:rPr>
              <w:t>(</w:t>
            </w:r>
            <w:proofErr w:type="gramStart"/>
            <w:r>
              <w:rPr>
                <w:sz w:val="20"/>
                <w:szCs w:val="20"/>
              </w:rPr>
              <w:t>for</w:t>
            </w:r>
            <w:proofErr w:type="gramEnd"/>
            <w:r>
              <w:rPr>
                <w:sz w:val="20"/>
                <w:szCs w:val="20"/>
              </w:rPr>
              <w:t xml:space="preserve"> clarity, </w:t>
            </w:r>
            <w:r>
              <w:rPr>
                <w:rFonts w:ascii="Consolas" w:eastAsia="Consolas" w:hAnsi="Consolas" w:cs="Consolas"/>
                <w:b/>
                <w:sz w:val="20"/>
                <w:szCs w:val="20"/>
              </w:rPr>
              <w:t>Local ID</w:t>
            </w:r>
            <w:r>
              <w:rPr>
                <w:sz w:val="20"/>
                <w:szCs w:val="20"/>
              </w:rPr>
              <w:t xml:space="preserve"> only is shown)</w:t>
            </w:r>
          </w:p>
        </w:tc>
      </w:tr>
      <w:tr w:rsidR="00317BE3" w14:paraId="71B7F14A" w14:textId="77777777">
        <w:tc>
          <w:tcPr>
            <w:tcW w:w="7155" w:type="dxa"/>
            <w:tcBorders>
              <w:top w:val="single" w:sz="8" w:space="0" w:color="666666"/>
              <w:left w:val="single" w:sz="8" w:space="0" w:color="666666"/>
              <w:bottom w:val="single" w:sz="8" w:space="0" w:color="666666"/>
              <w:right w:val="single" w:sz="8" w:space="0" w:color="666666"/>
            </w:tcBorders>
            <w:tcMar>
              <w:left w:w="21" w:type="dxa"/>
            </w:tcMar>
          </w:tcPr>
          <w:p w14:paraId="7AAD6E33" w14:textId="77777777" w:rsidR="00317BE3" w:rsidRDefault="00A53922" w:rsidP="00EA2A5C">
            <w:pPr>
              <w:pStyle w:val="normal0"/>
              <w:widowControl w:val="0"/>
              <w:jc w:val="left"/>
            </w:pPr>
            <w:r>
              <w:rPr>
                <w:sz w:val="20"/>
                <w:szCs w:val="20"/>
              </w:rPr>
              <w:t>Version information should follow after a dot</w:t>
            </w:r>
          </w:p>
        </w:tc>
        <w:tc>
          <w:tcPr>
            <w:tcW w:w="3615" w:type="dxa"/>
            <w:tcBorders>
              <w:top w:val="single" w:sz="8" w:space="0" w:color="666666"/>
              <w:left w:val="single" w:sz="8" w:space="0" w:color="666666"/>
              <w:bottom w:val="single" w:sz="8" w:space="0" w:color="666666"/>
              <w:right w:val="single" w:sz="8" w:space="0" w:color="666666"/>
            </w:tcBorders>
            <w:tcMar>
              <w:left w:w="21" w:type="dxa"/>
            </w:tcMar>
          </w:tcPr>
          <w:p w14:paraId="6A69A3A5" w14:textId="77777777" w:rsidR="00317BE3" w:rsidRDefault="00A53922" w:rsidP="00EA2A5C">
            <w:pPr>
              <w:pStyle w:val="normal0"/>
              <w:widowControl w:val="0"/>
              <w:jc w:val="center"/>
            </w:pPr>
            <w:hyperlink r:id="rId77">
              <w:r>
                <w:rPr>
                  <w:rFonts w:ascii="Consolas" w:eastAsia="Consolas" w:hAnsi="Consolas" w:cs="Consolas"/>
                  <w:color w:val="1155CC"/>
                  <w:sz w:val="20"/>
                  <w:szCs w:val="20"/>
                  <w:u w:val="single"/>
                </w:rPr>
                <w:t>P12345</w:t>
              </w:r>
            </w:hyperlink>
            <w:hyperlink r:id="rId78">
              <w:proofErr w:type="gramStart"/>
              <w:r>
                <w:rPr>
                  <w:rFonts w:ascii="Consolas" w:eastAsia="Consolas" w:hAnsi="Consolas" w:cs="Consolas"/>
                  <w:b/>
                  <w:color w:val="1155CC"/>
                  <w:sz w:val="20"/>
                  <w:szCs w:val="20"/>
                  <w:u w:val="single"/>
                </w:rPr>
                <w:t>.3</w:t>
              </w:r>
              <w:proofErr w:type="gramEnd"/>
            </w:hyperlink>
            <w:hyperlink r:id="rId79"/>
          </w:p>
        </w:tc>
      </w:tr>
      <w:tr w:rsidR="00317BE3" w14:paraId="474179BA" w14:textId="77777777">
        <w:tc>
          <w:tcPr>
            <w:tcW w:w="7155" w:type="dxa"/>
            <w:tcBorders>
              <w:top w:val="single" w:sz="8" w:space="0" w:color="666666"/>
              <w:left w:val="single" w:sz="8" w:space="0" w:color="666666"/>
              <w:bottom w:val="single" w:sz="8" w:space="0" w:color="666666"/>
              <w:right w:val="single" w:sz="8" w:space="0" w:color="666666"/>
            </w:tcBorders>
            <w:tcMar>
              <w:left w:w="21" w:type="dxa"/>
            </w:tcMar>
          </w:tcPr>
          <w:p w14:paraId="38B0A9DB" w14:textId="77777777" w:rsidR="00317BE3" w:rsidRDefault="00A53922" w:rsidP="00EA2A5C">
            <w:pPr>
              <w:pStyle w:val="normal0"/>
              <w:widowControl w:val="0"/>
              <w:jc w:val="left"/>
            </w:pPr>
            <w:r>
              <w:rPr>
                <w:sz w:val="20"/>
                <w:szCs w:val="20"/>
              </w:rPr>
              <w:t xml:space="preserve">Base resource must resolve </w:t>
            </w:r>
            <w:r>
              <w:rPr>
                <w:rFonts w:ascii="Arial Narrow" w:eastAsia="Arial Narrow" w:hAnsi="Arial Narrow" w:cs="Arial Narrow"/>
                <w:sz w:val="20"/>
                <w:szCs w:val="20"/>
              </w:rPr>
              <w:t xml:space="preserve">(302 redirect) </w:t>
            </w:r>
            <w:r>
              <w:rPr>
                <w:sz w:val="20"/>
                <w:szCs w:val="20"/>
              </w:rPr>
              <w:t>to most recent version</w:t>
            </w:r>
          </w:p>
        </w:tc>
        <w:tc>
          <w:tcPr>
            <w:tcW w:w="3615" w:type="dxa"/>
            <w:tcBorders>
              <w:top w:val="single" w:sz="8" w:space="0" w:color="666666"/>
              <w:left w:val="single" w:sz="8" w:space="0" w:color="666666"/>
              <w:bottom w:val="single" w:sz="8" w:space="0" w:color="666666"/>
              <w:right w:val="single" w:sz="8" w:space="0" w:color="666666"/>
            </w:tcBorders>
            <w:tcMar>
              <w:left w:w="21" w:type="dxa"/>
            </w:tcMar>
          </w:tcPr>
          <w:p w14:paraId="6C7107B4" w14:textId="77777777" w:rsidR="00317BE3" w:rsidRDefault="00A53922" w:rsidP="00EA2A5C">
            <w:pPr>
              <w:pStyle w:val="normal0"/>
              <w:widowControl w:val="0"/>
              <w:jc w:val="center"/>
            </w:pPr>
            <w:hyperlink r:id="rId80">
              <w:r>
                <w:rPr>
                  <w:rFonts w:ascii="Consolas" w:eastAsia="Consolas" w:hAnsi="Consolas" w:cs="Consolas"/>
                  <w:color w:val="1155CC"/>
                  <w:sz w:val="20"/>
                  <w:szCs w:val="20"/>
                  <w:u w:val="single"/>
                </w:rPr>
                <w:t>P12345</w:t>
              </w:r>
            </w:hyperlink>
            <w:hyperlink r:id="rId81"/>
          </w:p>
        </w:tc>
      </w:tr>
      <w:tr w:rsidR="00317BE3" w14:paraId="51A6F8F3" w14:textId="77777777">
        <w:tc>
          <w:tcPr>
            <w:tcW w:w="7155" w:type="dxa"/>
            <w:tcBorders>
              <w:top w:val="single" w:sz="8" w:space="0" w:color="666666"/>
              <w:left w:val="single" w:sz="8" w:space="0" w:color="666666"/>
              <w:bottom w:val="single" w:sz="8" w:space="0" w:color="666666"/>
              <w:right w:val="single" w:sz="8" w:space="0" w:color="666666"/>
            </w:tcBorders>
            <w:tcMar>
              <w:left w:w="21" w:type="dxa"/>
            </w:tcMar>
          </w:tcPr>
          <w:p w14:paraId="35E7BFCB" w14:textId="77777777" w:rsidR="00317BE3" w:rsidRDefault="00A53922" w:rsidP="00EA2A5C">
            <w:pPr>
              <w:pStyle w:val="normal0"/>
              <w:widowControl w:val="0"/>
              <w:jc w:val="left"/>
            </w:pPr>
            <w:r>
              <w:rPr>
                <w:sz w:val="20"/>
                <w:szCs w:val="20"/>
              </w:rPr>
              <w:t>Base resource should be deterministically convertible from version</w:t>
            </w:r>
          </w:p>
        </w:tc>
        <w:tc>
          <w:tcPr>
            <w:tcW w:w="3615" w:type="dxa"/>
            <w:tcBorders>
              <w:top w:val="single" w:sz="8" w:space="0" w:color="666666"/>
              <w:left w:val="single" w:sz="8" w:space="0" w:color="666666"/>
              <w:bottom w:val="single" w:sz="8" w:space="0" w:color="666666"/>
              <w:right w:val="single" w:sz="8" w:space="0" w:color="666666"/>
            </w:tcBorders>
            <w:tcMar>
              <w:left w:w="21" w:type="dxa"/>
            </w:tcMar>
          </w:tcPr>
          <w:p w14:paraId="16B5A5D1" w14:textId="77777777" w:rsidR="00317BE3" w:rsidRDefault="00A53922" w:rsidP="00EA2A5C">
            <w:pPr>
              <w:pStyle w:val="normal0"/>
              <w:widowControl w:val="0"/>
              <w:jc w:val="center"/>
            </w:pPr>
            <w:hyperlink r:id="rId82">
              <w:r>
                <w:rPr>
                  <w:rFonts w:ascii="Consolas" w:eastAsia="Consolas" w:hAnsi="Consolas" w:cs="Consolas"/>
                  <w:color w:val="1155CC"/>
                  <w:sz w:val="20"/>
                  <w:szCs w:val="20"/>
                  <w:u w:val="single"/>
                </w:rPr>
                <w:t>P12345</w:t>
              </w:r>
            </w:hyperlink>
            <w:hyperlink r:id="rId83">
              <w:proofErr w:type="gramStart"/>
              <w:r>
                <w:rPr>
                  <w:rFonts w:ascii="Consolas" w:eastAsia="Consolas" w:hAnsi="Consolas" w:cs="Consolas"/>
                  <w:b/>
                  <w:color w:val="1155CC"/>
                  <w:sz w:val="20"/>
                  <w:szCs w:val="20"/>
                  <w:u w:val="single"/>
                </w:rPr>
                <w:t>.1</w:t>
              </w:r>
              <w:proofErr w:type="gramEnd"/>
            </w:hyperlink>
            <w:r>
              <w:rPr>
                <w:rFonts w:ascii="Consolas" w:eastAsia="Consolas" w:hAnsi="Consolas" w:cs="Consolas"/>
                <w:sz w:val="20"/>
                <w:szCs w:val="20"/>
              </w:rPr>
              <w:t xml:space="preserve"> to </w:t>
            </w:r>
            <w:hyperlink r:id="rId84">
              <w:r>
                <w:rPr>
                  <w:rFonts w:ascii="Consolas" w:eastAsia="Consolas" w:hAnsi="Consolas" w:cs="Consolas"/>
                  <w:color w:val="1155CC"/>
                  <w:sz w:val="20"/>
                  <w:szCs w:val="20"/>
                  <w:u w:val="single"/>
                </w:rPr>
                <w:t>P12345</w:t>
              </w:r>
            </w:hyperlink>
            <w:hyperlink r:id="rId85"/>
          </w:p>
        </w:tc>
      </w:tr>
      <w:tr w:rsidR="00317BE3" w14:paraId="39F82A82" w14:textId="77777777">
        <w:tc>
          <w:tcPr>
            <w:tcW w:w="7155" w:type="dxa"/>
            <w:tcBorders>
              <w:top w:val="single" w:sz="8" w:space="0" w:color="666666"/>
              <w:left w:val="single" w:sz="8" w:space="0" w:color="666666"/>
              <w:bottom w:val="single" w:sz="8" w:space="0" w:color="666666"/>
              <w:right w:val="single" w:sz="8" w:space="0" w:color="666666"/>
            </w:tcBorders>
            <w:tcMar>
              <w:left w:w="21" w:type="dxa"/>
            </w:tcMar>
          </w:tcPr>
          <w:p w14:paraId="0DA95AB2" w14:textId="77777777" w:rsidR="00317BE3" w:rsidRDefault="00A53922" w:rsidP="00EA2A5C">
            <w:pPr>
              <w:pStyle w:val="normal0"/>
              <w:widowControl w:val="0"/>
              <w:jc w:val="left"/>
            </w:pPr>
            <w:r>
              <w:rPr>
                <w:sz w:val="20"/>
                <w:szCs w:val="20"/>
              </w:rPr>
              <w:t>Older versions must resolve</w:t>
            </w:r>
          </w:p>
        </w:tc>
        <w:tc>
          <w:tcPr>
            <w:tcW w:w="3615" w:type="dxa"/>
            <w:tcBorders>
              <w:top w:val="single" w:sz="8" w:space="0" w:color="666666"/>
              <w:left w:val="single" w:sz="8" w:space="0" w:color="666666"/>
              <w:bottom w:val="single" w:sz="8" w:space="0" w:color="666666"/>
              <w:right w:val="single" w:sz="8" w:space="0" w:color="666666"/>
            </w:tcBorders>
            <w:tcMar>
              <w:left w:w="21" w:type="dxa"/>
            </w:tcMar>
          </w:tcPr>
          <w:p w14:paraId="35091F07" w14:textId="77777777" w:rsidR="00317BE3" w:rsidRDefault="00A53922" w:rsidP="00EA2A5C">
            <w:pPr>
              <w:pStyle w:val="normal0"/>
              <w:widowControl w:val="0"/>
              <w:jc w:val="center"/>
            </w:pPr>
            <w:hyperlink r:id="rId86">
              <w:r>
                <w:rPr>
                  <w:rFonts w:ascii="Consolas" w:eastAsia="Consolas" w:hAnsi="Consolas" w:cs="Consolas"/>
                  <w:color w:val="1155CC"/>
                  <w:sz w:val="20"/>
                  <w:szCs w:val="20"/>
                  <w:u w:val="single"/>
                </w:rPr>
                <w:t>P12345</w:t>
              </w:r>
            </w:hyperlink>
            <w:hyperlink r:id="rId87">
              <w:proofErr w:type="gramStart"/>
              <w:r>
                <w:rPr>
                  <w:rFonts w:ascii="Consolas" w:eastAsia="Consolas" w:hAnsi="Consolas" w:cs="Consolas"/>
                  <w:b/>
                  <w:color w:val="1155CC"/>
                  <w:sz w:val="20"/>
                  <w:szCs w:val="20"/>
                  <w:u w:val="single"/>
                </w:rPr>
                <w:t>.1</w:t>
              </w:r>
              <w:proofErr w:type="gramEnd"/>
            </w:hyperlink>
            <w:hyperlink r:id="rId88"/>
          </w:p>
        </w:tc>
      </w:tr>
      <w:tr w:rsidR="00317BE3" w14:paraId="3D994D8F" w14:textId="77777777">
        <w:tc>
          <w:tcPr>
            <w:tcW w:w="7155" w:type="dxa"/>
            <w:tcBorders>
              <w:top w:val="single" w:sz="8" w:space="0" w:color="666666"/>
              <w:left w:val="single" w:sz="8" w:space="0" w:color="666666"/>
              <w:bottom w:val="single" w:sz="8" w:space="0" w:color="666666"/>
              <w:right w:val="single" w:sz="8" w:space="0" w:color="666666"/>
            </w:tcBorders>
            <w:tcMar>
              <w:left w:w="21" w:type="dxa"/>
            </w:tcMar>
          </w:tcPr>
          <w:p w14:paraId="00838456" w14:textId="77777777" w:rsidR="00317BE3" w:rsidRDefault="00A53922" w:rsidP="00EA2A5C">
            <w:pPr>
              <w:pStyle w:val="normal0"/>
              <w:widowControl w:val="0"/>
              <w:jc w:val="left"/>
            </w:pPr>
            <w:r>
              <w:rPr>
                <w:sz w:val="20"/>
                <w:szCs w:val="20"/>
              </w:rPr>
              <w:t xml:space="preserve">Illegal or invalid </w:t>
            </w:r>
            <w:r>
              <w:rPr>
                <w:rFonts w:ascii="Arial Narrow" w:eastAsia="Arial Narrow" w:hAnsi="Arial Narrow" w:cs="Arial Narrow"/>
                <w:sz w:val="20"/>
                <w:szCs w:val="20"/>
              </w:rPr>
              <w:t>version</w:t>
            </w:r>
            <w:r>
              <w:rPr>
                <w:sz w:val="20"/>
                <w:szCs w:val="20"/>
              </w:rPr>
              <w:t xml:space="preserve"> must produce an informative HTTP error code (message such as 400 ‘Bad Request’) and an HTML page explaining the error. For example identifiers.org has a page reporting “unknown collection” together with its 404 status.</w:t>
            </w:r>
          </w:p>
        </w:tc>
        <w:tc>
          <w:tcPr>
            <w:tcW w:w="3615" w:type="dxa"/>
            <w:tcBorders>
              <w:top w:val="single" w:sz="8" w:space="0" w:color="666666"/>
              <w:left w:val="single" w:sz="8" w:space="0" w:color="666666"/>
              <w:bottom w:val="single" w:sz="8" w:space="0" w:color="666666"/>
              <w:right w:val="single" w:sz="8" w:space="0" w:color="666666"/>
            </w:tcBorders>
            <w:tcMar>
              <w:left w:w="21" w:type="dxa"/>
            </w:tcMar>
          </w:tcPr>
          <w:p w14:paraId="5078992E" w14:textId="77777777" w:rsidR="00317BE3" w:rsidRDefault="00A53922" w:rsidP="00EA2A5C">
            <w:pPr>
              <w:pStyle w:val="normal0"/>
              <w:widowControl w:val="0"/>
              <w:jc w:val="center"/>
            </w:pPr>
            <w:hyperlink r:id="rId89">
              <w:r>
                <w:rPr>
                  <w:rFonts w:ascii="Consolas" w:eastAsia="Consolas" w:hAnsi="Consolas" w:cs="Consolas"/>
                  <w:color w:val="1155CC"/>
                  <w:sz w:val="20"/>
                  <w:szCs w:val="20"/>
                  <w:u w:val="single"/>
                </w:rPr>
                <w:t>P12345</w:t>
              </w:r>
            </w:hyperlink>
            <w:hyperlink r:id="rId90">
              <w:proofErr w:type="gramStart"/>
              <w:r>
                <w:rPr>
                  <w:rFonts w:ascii="Consolas" w:eastAsia="Consolas" w:hAnsi="Consolas" w:cs="Consolas"/>
                  <w:b/>
                  <w:color w:val="1155CC"/>
                  <w:sz w:val="20"/>
                  <w:szCs w:val="20"/>
                  <w:u w:val="single"/>
                </w:rPr>
                <w:t>.302</w:t>
              </w:r>
              <w:proofErr w:type="gramEnd"/>
            </w:hyperlink>
            <w:hyperlink r:id="rId91"/>
          </w:p>
        </w:tc>
      </w:tr>
      <w:tr w:rsidR="00317BE3" w14:paraId="2CE53E68" w14:textId="77777777">
        <w:tc>
          <w:tcPr>
            <w:tcW w:w="7155" w:type="dxa"/>
            <w:tcBorders>
              <w:top w:val="single" w:sz="8" w:space="0" w:color="666666"/>
              <w:left w:val="single" w:sz="8" w:space="0" w:color="666666"/>
              <w:bottom w:val="single" w:sz="8" w:space="0" w:color="666666"/>
              <w:right w:val="single" w:sz="8" w:space="0" w:color="666666"/>
            </w:tcBorders>
            <w:tcMar>
              <w:left w:w="21" w:type="dxa"/>
            </w:tcMar>
          </w:tcPr>
          <w:p w14:paraId="3D412FB5" w14:textId="77777777" w:rsidR="00317BE3" w:rsidRDefault="00A53922" w:rsidP="00EA2A5C">
            <w:pPr>
              <w:pStyle w:val="normal0"/>
              <w:widowControl w:val="0"/>
              <w:jc w:val="left"/>
            </w:pPr>
            <w:r>
              <w:rPr>
                <w:sz w:val="20"/>
                <w:szCs w:val="20"/>
              </w:rPr>
              <w:t>Link from older version to current version must be provided</w:t>
            </w:r>
          </w:p>
        </w:tc>
        <w:tc>
          <w:tcPr>
            <w:tcW w:w="3615" w:type="dxa"/>
            <w:tcBorders>
              <w:top w:val="single" w:sz="8" w:space="0" w:color="666666"/>
              <w:left w:val="single" w:sz="8" w:space="0" w:color="666666"/>
              <w:bottom w:val="single" w:sz="8" w:space="0" w:color="666666"/>
              <w:right w:val="single" w:sz="8" w:space="0" w:color="666666"/>
            </w:tcBorders>
            <w:tcMar>
              <w:left w:w="21" w:type="dxa"/>
            </w:tcMar>
          </w:tcPr>
          <w:p w14:paraId="08CFF48B" w14:textId="77777777" w:rsidR="00317BE3" w:rsidRDefault="00A53922" w:rsidP="00EA2A5C">
            <w:pPr>
              <w:pStyle w:val="normal0"/>
              <w:widowControl w:val="0"/>
              <w:jc w:val="center"/>
            </w:pPr>
            <w:hyperlink r:id="rId92">
              <w:r>
                <w:rPr>
                  <w:rFonts w:ascii="Consolas" w:eastAsia="Consolas" w:hAnsi="Consolas" w:cs="Consolas"/>
                  <w:color w:val="1155CC"/>
                  <w:sz w:val="20"/>
                  <w:szCs w:val="20"/>
                  <w:u w:val="single"/>
                </w:rPr>
                <w:t>P12345</w:t>
              </w:r>
            </w:hyperlink>
            <w:hyperlink r:id="rId93">
              <w:proofErr w:type="gramStart"/>
              <w:r>
                <w:rPr>
                  <w:rFonts w:ascii="Consolas" w:eastAsia="Consolas" w:hAnsi="Consolas" w:cs="Consolas"/>
                  <w:b/>
                  <w:color w:val="1155CC"/>
                  <w:sz w:val="20"/>
                  <w:szCs w:val="20"/>
                  <w:u w:val="single"/>
                </w:rPr>
                <w:t>.3</w:t>
              </w:r>
              <w:proofErr w:type="gramEnd"/>
            </w:hyperlink>
            <w:hyperlink r:id="rId94"/>
          </w:p>
        </w:tc>
      </w:tr>
      <w:tr w:rsidR="00317BE3" w14:paraId="5691B16B" w14:textId="77777777">
        <w:tc>
          <w:tcPr>
            <w:tcW w:w="7155" w:type="dxa"/>
            <w:tcBorders>
              <w:top w:val="single" w:sz="8" w:space="0" w:color="666666"/>
              <w:left w:val="single" w:sz="8" w:space="0" w:color="666666"/>
              <w:bottom w:val="single" w:sz="8" w:space="0" w:color="666666"/>
              <w:right w:val="single" w:sz="8" w:space="0" w:color="666666"/>
            </w:tcBorders>
            <w:tcMar>
              <w:left w:w="21" w:type="dxa"/>
            </w:tcMar>
          </w:tcPr>
          <w:p w14:paraId="7197E150" w14:textId="77777777" w:rsidR="00317BE3" w:rsidRDefault="00A53922" w:rsidP="00EA2A5C">
            <w:pPr>
              <w:pStyle w:val="normal0"/>
              <w:widowControl w:val="0"/>
              <w:jc w:val="left"/>
            </w:pPr>
            <w:r>
              <w:rPr>
                <w:sz w:val="20"/>
                <w:szCs w:val="20"/>
              </w:rPr>
              <w:t xml:space="preserve">A list of all previous versions should be available </w:t>
            </w:r>
          </w:p>
        </w:tc>
        <w:tc>
          <w:tcPr>
            <w:tcW w:w="3615" w:type="dxa"/>
            <w:tcBorders>
              <w:top w:val="single" w:sz="8" w:space="0" w:color="666666"/>
              <w:left w:val="single" w:sz="8" w:space="0" w:color="666666"/>
              <w:bottom w:val="single" w:sz="8" w:space="0" w:color="666666"/>
              <w:right w:val="single" w:sz="8" w:space="0" w:color="666666"/>
            </w:tcBorders>
            <w:tcMar>
              <w:left w:w="21" w:type="dxa"/>
            </w:tcMar>
          </w:tcPr>
          <w:p w14:paraId="6AABA97B" w14:textId="77777777" w:rsidR="00317BE3" w:rsidRDefault="00A53922" w:rsidP="00EA2A5C">
            <w:pPr>
              <w:pStyle w:val="normal0"/>
              <w:widowControl w:val="0"/>
              <w:jc w:val="center"/>
            </w:pPr>
            <w:hyperlink r:id="rId95">
              <w:r>
                <w:rPr>
                  <w:rFonts w:ascii="Consolas" w:eastAsia="Consolas" w:hAnsi="Consolas" w:cs="Consolas"/>
                  <w:color w:val="1155CC"/>
                  <w:sz w:val="20"/>
                  <w:szCs w:val="20"/>
                  <w:u w:val="single"/>
                </w:rPr>
                <w:t>P12345</w:t>
              </w:r>
            </w:hyperlink>
            <w:r>
              <w:rPr>
                <w:rFonts w:ascii="Arial Narrow" w:eastAsia="Arial Narrow" w:hAnsi="Arial Narrow" w:cs="Arial Narrow"/>
                <w:sz w:val="20"/>
                <w:szCs w:val="20"/>
              </w:rPr>
              <w:t xml:space="preserve"> (see ‘history’ tab in user interface)</w:t>
            </w:r>
          </w:p>
        </w:tc>
      </w:tr>
      <w:tr w:rsidR="00317BE3" w14:paraId="4F8899C3" w14:textId="77777777">
        <w:tc>
          <w:tcPr>
            <w:tcW w:w="7155" w:type="dxa"/>
            <w:tcBorders>
              <w:top w:val="single" w:sz="8" w:space="0" w:color="666666"/>
              <w:left w:val="single" w:sz="8" w:space="0" w:color="666666"/>
              <w:bottom w:val="single" w:sz="8" w:space="0" w:color="666666"/>
              <w:right w:val="single" w:sz="8" w:space="0" w:color="666666"/>
            </w:tcBorders>
            <w:tcMar>
              <w:left w:w="21" w:type="dxa"/>
            </w:tcMar>
          </w:tcPr>
          <w:p w14:paraId="2E5038A1" w14:textId="77777777" w:rsidR="00317BE3" w:rsidRDefault="00A53922" w:rsidP="00EA2A5C">
            <w:pPr>
              <w:pStyle w:val="normal0"/>
              <w:widowControl w:val="0"/>
              <w:jc w:val="left"/>
            </w:pPr>
            <w:r>
              <w:rPr>
                <w:sz w:val="20"/>
                <w:szCs w:val="20"/>
              </w:rPr>
              <w:t xml:space="preserve">Two versions (or dates) should be comparable </w:t>
            </w:r>
          </w:p>
        </w:tc>
        <w:tc>
          <w:tcPr>
            <w:tcW w:w="3615" w:type="dxa"/>
            <w:tcBorders>
              <w:top w:val="single" w:sz="8" w:space="0" w:color="666666"/>
              <w:left w:val="single" w:sz="8" w:space="0" w:color="666666"/>
              <w:bottom w:val="single" w:sz="8" w:space="0" w:color="666666"/>
              <w:right w:val="single" w:sz="8" w:space="0" w:color="666666"/>
            </w:tcBorders>
            <w:tcMar>
              <w:left w:w="21" w:type="dxa"/>
            </w:tcMar>
          </w:tcPr>
          <w:p w14:paraId="56993B66" w14:textId="77777777" w:rsidR="00317BE3" w:rsidRDefault="00A53922" w:rsidP="00EA2A5C">
            <w:pPr>
              <w:pStyle w:val="normal0"/>
              <w:widowControl w:val="0"/>
              <w:jc w:val="center"/>
            </w:pPr>
            <w:hyperlink r:id="rId96">
              <w:r>
                <w:rPr>
                  <w:rFonts w:ascii="Arial Narrow" w:eastAsia="Arial Narrow" w:hAnsi="Arial Narrow" w:cs="Arial Narrow"/>
                  <w:color w:val="1155CC"/>
                  <w:sz w:val="20"/>
                  <w:szCs w:val="20"/>
                  <w:u w:val="single"/>
                </w:rPr>
                <w:t>http://www.uniprot.org/uniprot/P12345?version=*</w:t>
              </w:r>
            </w:hyperlink>
            <w:r>
              <w:rPr>
                <w:rFonts w:ascii="Arial Narrow" w:eastAsia="Arial Narrow" w:hAnsi="Arial Narrow" w:cs="Arial Narrow"/>
                <w:sz w:val="20"/>
                <w:szCs w:val="20"/>
              </w:rPr>
              <w:t xml:space="preserve"> </w:t>
            </w:r>
          </w:p>
        </w:tc>
      </w:tr>
    </w:tbl>
    <w:p w14:paraId="467FA249" w14:textId="77777777" w:rsidR="00317BE3" w:rsidRDefault="00A53922" w:rsidP="00EA2A5C">
      <w:pPr>
        <w:pStyle w:val="normal0"/>
      </w:pPr>
      <w:hyperlink r:id="rId97"/>
    </w:p>
    <w:p w14:paraId="29819932" w14:textId="77777777" w:rsidR="00317BE3" w:rsidRDefault="00A53922" w:rsidP="00EA2A5C">
      <w:pPr>
        <w:pStyle w:val="Heading2"/>
      </w:pPr>
      <w:bookmarkStart w:id="13" w:name="_rrpu8xiztkxx" w:colFirst="0" w:colLast="0"/>
      <w:bookmarkEnd w:id="13"/>
      <w:r>
        <w:t>7. Make URIs clear and findable</w:t>
      </w:r>
    </w:p>
    <w:p w14:paraId="6BDEE25C" w14:textId="77777777" w:rsidR="00317BE3" w:rsidRDefault="00A53922" w:rsidP="00EA2A5C">
      <w:pPr>
        <w:pStyle w:val="normal0"/>
      </w:pPr>
      <w:r>
        <w:t xml:space="preserve">Make URIs obvious to users, especially where these differ from access URLs or application pages. For instance, at the record-level, advertise the “permanent link” together with a statement about persistence. </w:t>
      </w:r>
      <w:r>
        <w:rPr>
          <w:sz w:val="20"/>
          <w:szCs w:val="20"/>
        </w:rPr>
        <w:t xml:space="preserve">E.g. </w:t>
      </w:r>
    </w:p>
    <w:p w14:paraId="609EE366" w14:textId="77777777" w:rsidR="00317BE3" w:rsidRDefault="00A53922" w:rsidP="00EA2A5C">
      <w:pPr>
        <w:pStyle w:val="normal0"/>
        <w:ind w:left="900" w:right="180"/>
      </w:pPr>
      <w:r>
        <w:rPr>
          <w:i/>
          <w:sz w:val="20"/>
          <w:szCs w:val="20"/>
        </w:rPr>
        <w:t xml:space="preserve">“The permanent link to this page, which will not change with the next release of </w:t>
      </w:r>
      <w:proofErr w:type="spellStart"/>
      <w:r>
        <w:rPr>
          <w:i/>
          <w:sz w:val="20"/>
          <w:szCs w:val="20"/>
        </w:rPr>
        <w:t>Ensembl</w:t>
      </w:r>
      <w:proofErr w:type="spellEnd"/>
      <w:r>
        <w:rPr>
          <w:i/>
          <w:sz w:val="20"/>
          <w:szCs w:val="20"/>
        </w:rPr>
        <w:t xml:space="preserve"> is: </w:t>
      </w:r>
      <w:hyperlink r:id="rId98">
        <w:r>
          <w:rPr>
            <w:rFonts w:ascii="Arial Narrow" w:eastAsia="Arial Narrow" w:hAnsi="Arial Narrow" w:cs="Arial Narrow"/>
            <w:i/>
            <w:color w:val="0000FF"/>
            <w:sz w:val="20"/>
            <w:szCs w:val="20"/>
            <w:u w:val="single"/>
          </w:rPr>
          <w:t>http://Jul2015.archive.ensembl.org/Mus_musculus/Gene/Summary?g=ENSMUSG00000033577;r=9:80165031-80311729;redirect=no</w:t>
        </w:r>
      </w:hyperlink>
      <w:r>
        <w:rPr>
          <w:rFonts w:ascii="Arial Narrow" w:eastAsia="Arial Narrow" w:hAnsi="Arial Narrow" w:cs="Arial Narrow"/>
          <w:i/>
          <w:sz w:val="20"/>
          <w:szCs w:val="20"/>
        </w:rPr>
        <w:t xml:space="preserve"> </w:t>
      </w:r>
      <w:r>
        <w:rPr>
          <w:i/>
          <w:sz w:val="20"/>
          <w:szCs w:val="20"/>
        </w:rPr>
        <w:t>We aim to maintain all archives for at least two years; some key releases may be maintained for longer”</w:t>
      </w:r>
    </w:p>
    <w:p w14:paraId="4A86A32F" w14:textId="77777777" w:rsidR="00317BE3" w:rsidRDefault="00317BE3" w:rsidP="00EA2A5C">
      <w:pPr>
        <w:pStyle w:val="normal0"/>
      </w:pPr>
    </w:p>
    <w:p w14:paraId="2A2F27D4" w14:textId="77777777" w:rsidR="00317BE3" w:rsidRDefault="00A53922" w:rsidP="00EA2A5C">
      <w:pPr>
        <w:pStyle w:val="normal0"/>
      </w:pPr>
      <w:r>
        <w:t xml:space="preserve">For archived records that are </w:t>
      </w:r>
      <w:r>
        <w:rPr>
          <w:i/>
        </w:rPr>
        <w:t xml:space="preserve">out of date, </w:t>
      </w:r>
      <w:r>
        <w:t xml:space="preserve">make this clear to the user and provide a link to the updated version (see </w:t>
      </w:r>
      <w:hyperlink r:id="rId99">
        <w:r>
          <w:rPr>
            <w:rFonts w:ascii="Consolas" w:eastAsia="Consolas" w:hAnsi="Consolas" w:cs="Consolas"/>
            <w:color w:val="1155CC"/>
            <w:sz w:val="20"/>
            <w:szCs w:val="20"/>
            <w:u w:val="single"/>
          </w:rPr>
          <w:t>http://www.uniprot.org/uniprot/P12345.1</w:t>
        </w:r>
      </w:hyperlink>
      <w:r>
        <w:rPr>
          <w:color w:val="1155CC"/>
          <w:u w:val="single"/>
        </w:rPr>
        <w:t>,</w:t>
      </w:r>
      <w:r>
        <w:t xml:space="preserve"> for instance). Although it is good practice for each database website to include general citation guidance for users, it is increasingly important to provide a pre-populated </w:t>
      </w:r>
      <w:r>
        <w:lastRenderedPageBreak/>
        <w:t xml:space="preserve">citation </w:t>
      </w:r>
      <w:r>
        <w:rPr>
          <w:i/>
        </w:rPr>
        <w:t>at the level of each record</w:t>
      </w:r>
      <w:r>
        <w:rPr>
          <w:color w:val="6AA84F"/>
        </w:rPr>
        <w:t xml:space="preserve">. </w:t>
      </w:r>
      <w:r>
        <w:t>Outside of providers that issue DOIs, eagle-</w:t>
      </w:r>
      <w:proofErr w:type="spellStart"/>
      <w:proofErr w:type="gramStart"/>
      <w:r>
        <w:t>i</w:t>
      </w:r>
      <w:proofErr w:type="spellEnd"/>
      <w:r>
        <w:t>[</w:t>
      </w:r>
      <w:proofErr w:type="gramEnd"/>
      <w:r>
        <w:fldChar w:fldCharType="begin"/>
      </w:r>
      <w:r>
        <w:instrText xml:space="preserve"> HYPERLINK "https://www.ncbi.nlm.nih.gov/pubmed/22434835" \h </w:instrText>
      </w:r>
      <w:r>
        <w:fldChar w:fldCharType="separate"/>
      </w:r>
      <w:r>
        <w:rPr>
          <w:color w:val="1155CC"/>
          <w:u w:val="single"/>
        </w:rPr>
        <w:t>25</w:t>
      </w:r>
      <w:r>
        <w:rPr>
          <w:color w:val="1155CC"/>
          <w:u w:val="single"/>
        </w:rPr>
        <w:fldChar w:fldCharType="end"/>
      </w:r>
      <w:r>
        <w:t>] provides the best primary data source example of record-level citation instruction that we know of. Additional features that are useful in such widgets are that full references should be copy-</w:t>
      </w:r>
      <w:proofErr w:type="spellStart"/>
      <w:r>
        <w:t>pastable</w:t>
      </w:r>
      <w:proofErr w:type="spellEnd"/>
      <w:r>
        <w:t xml:space="preserve">, integrated with reference managers, and pre-populated with the version information and access date. </w:t>
      </w:r>
    </w:p>
    <w:p w14:paraId="6E17BD1D" w14:textId="77777777" w:rsidR="00317BE3" w:rsidRDefault="00A53922" w:rsidP="00EA2A5C">
      <w:pPr>
        <w:pStyle w:val="normal0"/>
        <w:jc w:val="center"/>
      </w:pPr>
      <w:r>
        <w:rPr>
          <w:noProof/>
        </w:rPr>
        <w:drawing>
          <wp:inline distT="114300" distB="114300" distL="114300" distR="114300" wp14:anchorId="0CA7EE58" wp14:editId="3E6B1E49">
            <wp:extent cx="3551183" cy="2124560"/>
            <wp:effectExtent l="0" t="0" r="5080" b="9525"/>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00"/>
                    <a:srcRect/>
                    <a:stretch>
                      <a:fillRect/>
                    </a:stretch>
                  </pic:blipFill>
                  <pic:spPr>
                    <a:xfrm>
                      <a:off x="0" y="0"/>
                      <a:ext cx="3552310" cy="2125234"/>
                    </a:xfrm>
                    <a:prstGeom prst="rect">
                      <a:avLst/>
                    </a:prstGeom>
                    <a:ln/>
                  </pic:spPr>
                </pic:pic>
              </a:graphicData>
            </a:graphic>
          </wp:inline>
        </w:drawing>
      </w:r>
    </w:p>
    <w:p w14:paraId="1FBEFE38" w14:textId="77777777" w:rsidR="00317BE3" w:rsidRDefault="00A53922" w:rsidP="00EA2A5C">
      <w:pPr>
        <w:pStyle w:val="normal0"/>
        <w:jc w:val="center"/>
      </w:pPr>
      <w:r>
        <w:rPr>
          <w:b/>
        </w:rPr>
        <w:t>Figure 3</w:t>
      </w:r>
      <w:r>
        <w:t xml:space="preserve">. </w:t>
      </w:r>
      <w:proofErr w:type="gramStart"/>
      <w:r>
        <w:t>eagle</w:t>
      </w:r>
      <w:proofErr w:type="gramEnd"/>
      <w:r>
        <w:t>-</w:t>
      </w:r>
      <w:proofErr w:type="spellStart"/>
      <w:r>
        <w:t>i</w:t>
      </w:r>
      <w:proofErr w:type="spellEnd"/>
      <w:r>
        <w:t xml:space="preserve"> record-level citation widget</w:t>
      </w:r>
    </w:p>
    <w:p w14:paraId="7D2B6768" w14:textId="77777777" w:rsidR="00317BE3" w:rsidRDefault="00A53922" w:rsidP="00EA2A5C">
      <w:pPr>
        <w:pStyle w:val="Heading2"/>
      </w:pPr>
      <w:bookmarkStart w:id="14" w:name="_l4rpq642mt78" w:colFirst="0" w:colLast="0"/>
      <w:bookmarkEnd w:id="14"/>
      <w:r>
        <w:t>8. Do not reassign or delete identifiers</w:t>
      </w:r>
    </w:p>
    <w:p w14:paraId="052B0269" w14:textId="77777777" w:rsidR="00317BE3" w:rsidRDefault="00A53922" w:rsidP="00EA2A5C">
      <w:pPr>
        <w:pStyle w:val="normal0"/>
      </w:pPr>
      <w:r>
        <w:t>Identifiers that have been exposed publicly, whether as HTTP URIs or via APIs may be deprecated but must never be deleted or reassigned to another record. If you issue identifiers, consider their full lifecycle: there is a fundamental difference between identifiers which point to experimental datasets (</w:t>
      </w:r>
      <w:proofErr w:type="spellStart"/>
      <w:r>
        <w:t>GenBank</w:t>
      </w:r>
      <w:proofErr w:type="spellEnd"/>
      <w:r>
        <w:t xml:space="preserve">/ENA/DDBJ, PRIDE, etc.) and </w:t>
      </w:r>
      <w:proofErr w:type="gramStart"/>
      <w:r>
        <w:t>identifiers which</w:t>
      </w:r>
      <w:proofErr w:type="gramEnd"/>
      <w:r>
        <w:t xml:space="preserve"> point to a current understanding of a biological concept (</w:t>
      </w:r>
      <w:proofErr w:type="spellStart"/>
      <w:r>
        <w:t>Ensembl</w:t>
      </w:r>
      <w:proofErr w:type="spellEnd"/>
      <w:r>
        <w:t xml:space="preserve"> Gene, </w:t>
      </w:r>
      <w:proofErr w:type="spellStart"/>
      <w:r>
        <w:t>UniProt</w:t>
      </w:r>
      <w:proofErr w:type="spellEnd"/>
      <w:r>
        <w:t xml:space="preserve"> record, etc.). While experimental records are less likely to change, concept descriptions may evolve rapidly; even the nature and number of the relevant metadata fields change over time. Moreover, the very notion of identity is often strongly impacted by relationships (e.g., between concepts or processes). </w:t>
      </w:r>
    </w:p>
    <w:p w14:paraId="5E0832E9" w14:textId="77777777" w:rsidR="00317BE3" w:rsidRDefault="00317BE3" w:rsidP="00EA2A5C">
      <w:pPr>
        <w:pStyle w:val="normal0"/>
      </w:pPr>
    </w:p>
    <w:p w14:paraId="7B95FA65" w14:textId="77777777" w:rsidR="00317BE3" w:rsidRDefault="00A53922" w:rsidP="00EA2A5C">
      <w:pPr>
        <w:pStyle w:val="normal0"/>
      </w:pPr>
      <w:r>
        <w:t>Extensive changes cannot be captured with numerical suffixing alone. For instance, taxonomists may split or merge species, pathologists may split or merge diseases, or hypothesized entities may be proven not to exist (e.g. vaccine-induced autism). Global initiatives (</w:t>
      </w:r>
      <w:r>
        <w:rPr>
          <w:b/>
        </w:rPr>
        <w:t>Text S1</w:t>
      </w:r>
      <w:r>
        <w:t xml:space="preserve">) are actively exploring identifier strategies for such use cases. In the meantime, consider </w:t>
      </w:r>
      <w:r>
        <w:rPr>
          <w:b/>
        </w:rPr>
        <w:t xml:space="preserve">Table 4 </w:t>
      </w:r>
      <w:r>
        <w:t>recommendations.</w:t>
      </w:r>
    </w:p>
    <w:p w14:paraId="43B3E828" w14:textId="77777777" w:rsidR="00317BE3" w:rsidRDefault="00317BE3" w:rsidP="00EA2A5C">
      <w:pPr>
        <w:pStyle w:val="normal0"/>
      </w:pPr>
    </w:p>
    <w:p w14:paraId="67DE1CEC" w14:textId="77777777" w:rsidR="00317BE3" w:rsidRDefault="00A53922" w:rsidP="00EA2A5C">
      <w:pPr>
        <w:pStyle w:val="normal0"/>
      </w:pPr>
      <w:r>
        <w:rPr>
          <w:b/>
        </w:rPr>
        <w:t>Table 4. Recommendations for identifier lifecycle management</w:t>
      </w:r>
    </w:p>
    <w:tbl>
      <w:tblPr>
        <w:tblStyle w:val="a3"/>
        <w:tblW w:w="10785" w:type="dxa"/>
        <w:tblBorders>
          <w:top w:val="single" w:sz="8" w:space="0" w:color="666666"/>
          <w:left w:val="single" w:sz="8" w:space="0" w:color="666666"/>
          <w:bottom w:val="single" w:sz="8" w:space="0" w:color="666666"/>
          <w:right w:val="single" w:sz="8" w:space="0" w:color="666666"/>
          <w:insideH w:val="single" w:sz="8" w:space="0" w:color="666666"/>
          <w:insideV w:val="single" w:sz="8" w:space="0" w:color="666666"/>
        </w:tblBorders>
        <w:tblLayout w:type="fixed"/>
        <w:tblLook w:val="0000" w:firstRow="0" w:lastRow="0" w:firstColumn="0" w:lastColumn="0" w:noHBand="0" w:noVBand="0"/>
      </w:tblPr>
      <w:tblGrid>
        <w:gridCol w:w="7005"/>
        <w:gridCol w:w="3780"/>
      </w:tblGrid>
      <w:tr w:rsidR="00317BE3" w14:paraId="7164AC20" w14:textId="77777777">
        <w:tc>
          <w:tcPr>
            <w:tcW w:w="7005" w:type="dxa"/>
            <w:tcBorders>
              <w:top w:val="single" w:sz="8" w:space="0" w:color="666666"/>
              <w:left w:val="single" w:sz="8" w:space="0" w:color="666666"/>
              <w:bottom w:val="single" w:sz="8" w:space="0" w:color="666666"/>
              <w:right w:val="single" w:sz="8" w:space="0" w:color="666666"/>
            </w:tcBorders>
            <w:tcMar>
              <w:left w:w="21" w:type="dxa"/>
            </w:tcMar>
          </w:tcPr>
          <w:p w14:paraId="4F087422" w14:textId="77777777" w:rsidR="00317BE3" w:rsidRDefault="00A53922" w:rsidP="00EA2A5C">
            <w:pPr>
              <w:pStyle w:val="normal0"/>
            </w:pPr>
            <w:r>
              <w:rPr>
                <w:b/>
                <w:sz w:val="20"/>
                <w:szCs w:val="20"/>
              </w:rPr>
              <w:t>Recommended handling</w:t>
            </w:r>
          </w:p>
        </w:tc>
        <w:tc>
          <w:tcPr>
            <w:tcW w:w="3780" w:type="dxa"/>
            <w:tcBorders>
              <w:top w:val="single" w:sz="8" w:space="0" w:color="666666"/>
              <w:left w:val="single" w:sz="8" w:space="0" w:color="666666"/>
              <w:bottom w:val="single" w:sz="8" w:space="0" w:color="666666"/>
              <w:right w:val="single" w:sz="8" w:space="0" w:color="666666"/>
            </w:tcBorders>
            <w:tcMar>
              <w:left w:w="21" w:type="dxa"/>
            </w:tcMar>
          </w:tcPr>
          <w:p w14:paraId="125C137F" w14:textId="77777777" w:rsidR="00317BE3" w:rsidRDefault="00A53922" w:rsidP="00EA2A5C">
            <w:pPr>
              <w:pStyle w:val="normal0"/>
              <w:jc w:val="center"/>
            </w:pPr>
            <w:r>
              <w:rPr>
                <w:b/>
                <w:sz w:val="20"/>
                <w:szCs w:val="20"/>
              </w:rPr>
              <w:t>Example</w:t>
            </w:r>
          </w:p>
        </w:tc>
      </w:tr>
      <w:tr w:rsidR="00317BE3" w14:paraId="1B7BB0AF" w14:textId="77777777">
        <w:trPr>
          <w:trHeight w:val="1620"/>
        </w:trPr>
        <w:tc>
          <w:tcPr>
            <w:tcW w:w="7005" w:type="dxa"/>
            <w:tcBorders>
              <w:top w:val="single" w:sz="8" w:space="0" w:color="666666"/>
              <w:left w:val="single" w:sz="8" w:space="0" w:color="666666"/>
              <w:bottom w:val="single" w:sz="8" w:space="0" w:color="666666"/>
              <w:right w:val="single" w:sz="8" w:space="0" w:color="666666"/>
            </w:tcBorders>
            <w:tcMar>
              <w:left w:w="21" w:type="dxa"/>
            </w:tcMar>
          </w:tcPr>
          <w:p w14:paraId="3E2C4248" w14:textId="77777777" w:rsidR="00317BE3" w:rsidRDefault="00A53922" w:rsidP="00EA2A5C">
            <w:pPr>
              <w:pStyle w:val="normal0"/>
              <w:jc w:val="left"/>
            </w:pPr>
            <w:proofErr w:type="spellStart"/>
            <w:r>
              <w:rPr>
                <w:b/>
                <w:sz w:val="20"/>
                <w:szCs w:val="20"/>
              </w:rPr>
              <w:t>Obsoletion</w:t>
            </w:r>
            <w:proofErr w:type="spellEnd"/>
            <w:r>
              <w:rPr>
                <w:sz w:val="20"/>
                <w:szCs w:val="20"/>
              </w:rPr>
              <w:t xml:space="preserve">: If an entry has been removed or deprecated, the original identifier must still resolve to a </w:t>
            </w:r>
            <w:r>
              <w:rPr>
                <w:rFonts w:ascii="Consolas" w:eastAsia="Consolas" w:hAnsi="Consolas" w:cs="Consolas"/>
                <w:sz w:val="20"/>
                <w:szCs w:val="20"/>
              </w:rPr>
              <w:t>‘tombstone page’</w:t>
            </w:r>
            <w:r>
              <w:rPr>
                <w:sz w:val="20"/>
                <w:szCs w:val="20"/>
              </w:rPr>
              <w:t xml:space="preserve">. </w:t>
            </w:r>
            <w:r>
              <w:rPr>
                <w:color w:val="333333"/>
                <w:sz w:val="20"/>
                <w:szCs w:val="20"/>
              </w:rPr>
              <w:t xml:space="preserve">Reasons for obsolescence should be indicated. If the obsoleted ID is replaced by another ID, the replacement must be present and also described as automatic or suggested, preferably using the ontology properties </w:t>
            </w:r>
            <w:hyperlink r:id="rId101">
              <w:proofErr w:type="spellStart"/>
              <w:r>
                <w:rPr>
                  <w:color w:val="1155CC"/>
                  <w:sz w:val="20"/>
                  <w:szCs w:val="20"/>
                  <w:u w:val="single"/>
                </w:rPr>
                <w:t>iao:</w:t>
              </w:r>
            </w:hyperlink>
            <w:hyperlink r:id="rId102">
              <w:r>
                <w:rPr>
                  <w:rFonts w:ascii="Consolas" w:eastAsia="Consolas" w:hAnsi="Consolas" w:cs="Consolas"/>
                  <w:color w:val="1155CC"/>
                  <w:sz w:val="20"/>
                  <w:szCs w:val="20"/>
                  <w:u w:val="single"/>
                </w:rPr>
                <w:t>replaced_by</w:t>
              </w:r>
              <w:proofErr w:type="spellEnd"/>
            </w:hyperlink>
            <w:r>
              <w:rPr>
                <w:color w:val="333333"/>
                <w:sz w:val="20"/>
                <w:szCs w:val="20"/>
              </w:rPr>
              <w:t xml:space="preserve"> and </w:t>
            </w:r>
            <w:hyperlink r:id="rId103">
              <w:proofErr w:type="spellStart"/>
              <w:r>
                <w:rPr>
                  <w:rFonts w:ascii="Consolas" w:eastAsia="Consolas" w:hAnsi="Consolas" w:cs="Consolas"/>
                  <w:color w:val="1155CC"/>
                  <w:sz w:val="20"/>
                  <w:szCs w:val="20"/>
                  <w:u w:val="single"/>
                </w:rPr>
                <w:t>obo</w:t>
              </w:r>
              <w:proofErr w:type="gramStart"/>
              <w:r>
                <w:rPr>
                  <w:rFonts w:ascii="Consolas" w:eastAsia="Consolas" w:hAnsi="Consolas" w:cs="Consolas"/>
                  <w:color w:val="1155CC"/>
                  <w:sz w:val="20"/>
                  <w:szCs w:val="20"/>
                  <w:u w:val="single"/>
                </w:rPr>
                <w:t>:consider</w:t>
              </w:r>
              <w:proofErr w:type="spellEnd"/>
              <w:proofErr w:type="gramEnd"/>
            </w:hyperlink>
            <w:r>
              <w:rPr>
                <w:color w:val="333333"/>
                <w:sz w:val="20"/>
                <w:szCs w:val="20"/>
              </w:rPr>
              <w:t xml:space="preserve">, respectively. </w:t>
            </w:r>
          </w:p>
          <w:p w14:paraId="42F7AB55" w14:textId="77777777" w:rsidR="00317BE3" w:rsidRDefault="00317BE3" w:rsidP="00EA2A5C">
            <w:pPr>
              <w:pStyle w:val="normal0"/>
              <w:jc w:val="left"/>
            </w:pPr>
          </w:p>
          <w:p w14:paraId="3274BA4A" w14:textId="77777777" w:rsidR="00317BE3" w:rsidRDefault="00A53922" w:rsidP="00EA2A5C">
            <w:pPr>
              <w:pStyle w:val="normal0"/>
              <w:jc w:val="left"/>
            </w:pPr>
            <w:r>
              <w:rPr>
                <w:color w:val="333333"/>
                <w:sz w:val="20"/>
                <w:szCs w:val="20"/>
              </w:rPr>
              <w:t>The obsoleted ID must never be reassigned to another entity. A list of obsoleted IDs should be maintained.</w:t>
            </w:r>
          </w:p>
        </w:tc>
        <w:tc>
          <w:tcPr>
            <w:tcW w:w="3780" w:type="dxa"/>
            <w:tcBorders>
              <w:top w:val="single" w:sz="8" w:space="0" w:color="666666"/>
              <w:left w:val="single" w:sz="8" w:space="0" w:color="666666"/>
              <w:bottom w:val="single" w:sz="8" w:space="0" w:color="666666"/>
              <w:right w:val="single" w:sz="8" w:space="0" w:color="666666"/>
            </w:tcBorders>
            <w:tcMar>
              <w:left w:w="21" w:type="dxa"/>
            </w:tcMar>
          </w:tcPr>
          <w:p w14:paraId="431B7DA0" w14:textId="77777777" w:rsidR="00317BE3" w:rsidRDefault="00A53922" w:rsidP="00EA2A5C">
            <w:pPr>
              <w:pStyle w:val="normal0"/>
              <w:jc w:val="left"/>
            </w:pPr>
            <w:r>
              <w:rPr>
                <w:sz w:val="20"/>
                <w:szCs w:val="20"/>
              </w:rPr>
              <w:t>Single obsoleted identifier:</w:t>
            </w:r>
          </w:p>
          <w:p w14:paraId="10AF4DAD" w14:textId="77777777" w:rsidR="00317BE3" w:rsidRDefault="00A53922" w:rsidP="00EA2A5C">
            <w:pPr>
              <w:pStyle w:val="normal0"/>
              <w:jc w:val="left"/>
            </w:pPr>
            <w:hyperlink r:id="rId104">
              <w:r>
                <w:rPr>
                  <w:rFonts w:ascii="Arial Narrow" w:eastAsia="Arial Narrow" w:hAnsi="Arial Narrow" w:cs="Arial Narrow"/>
                  <w:color w:val="1155CC"/>
                  <w:sz w:val="20"/>
                  <w:szCs w:val="20"/>
                  <w:u w:val="single"/>
                </w:rPr>
                <w:t>http://www.uniprot.org/uniprot/A0AV18</w:t>
              </w:r>
            </w:hyperlink>
            <w:r>
              <w:rPr>
                <w:sz w:val="20"/>
                <w:szCs w:val="20"/>
              </w:rPr>
              <w:t xml:space="preserve"> </w:t>
            </w:r>
          </w:p>
          <w:p w14:paraId="3043A490" w14:textId="77777777" w:rsidR="00317BE3" w:rsidRDefault="00317BE3" w:rsidP="00EA2A5C">
            <w:pPr>
              <w:pStyle w:val="normal0"/>
              <w:jc w:val="left"/>
            </w:pPr>
          </w:p>
          <w:p w14:paraId="2E0D036D" w14:textId="77777777" w:rsidR="00317BE3" w:rsidRDefault="00317BE3" w:rsidP="00EA2A5C">
            <w:pPr>
              <w:pStyle w:val="normal0"/>
              <w:jc w:val="left"/>
            </w:pPr>
          </w:p>
          <w:p w14:paraId="444941A4" w14:textId="77777777" w:rsidR="00317BE3" w:rsidRDefault="00317BE3" w:rsidP="00EA2A5C">
            <w:pPr>
              <w:pStyle w:val="normal0"/>
              <w:jc w:val="left"/>
            </w:pPr>
          </w:p>
          <w:p w14:paraId="496810A3" w14:textId="77777777" w:rsidR="00317BE3" w:rsidRDefault="00317BE3" w:rsidP="00EA2A5C">
            <w:pPr>
              <w:pStyle w:val="normal0"/>
              <w:jc w:val="left"/>
            </w:pPr>
          </w:p>
          <w:p w14:paraId="385311CF" w14:textId="77777777" w:rsidR="00317BE3" w:rsidRDefault="00317BE3" w:rsidP="00EA2A5C">
            <w:pPr>
              <w:pStyle w:val="normal0"/>
              <w:jc w:val="left"/>
            </w:pPr>
          </w:p>
          <w:p w14:paraId="65DF0ECF" w14:textId="77777777" w:rsidR="00317BE3" w:rsidRDefault="00A53922" w:rsidP="00EA2A5C">
            <w:pPr>
              <w:pStyle w:val="normal0"/>
              <w:jc w:val="left"/>
            </w:pPr>
            <w:r>
              <w:rPr>
                <w:sz w:val="20"/>
                <w:szCs w:val="20"/>
              </w:rPr>
              <w:t>List of obsoleted identifiers:</w:t>
            </w:r>
          </w:p>
          <w:p w14:paraId="39480885" w14:textId="77777777" w:rsidR="00317BE3" w:rsidRDefault="00A53922" w:rsidP="00EA2A5C">
            <w:pPr>
              <w:pStyle w:val="normal0"/>
              <w:jc w:val="left"/>
            </w:pPr>
            <w:hyperlink r:id="rId105">
              <w:proofErr w:type="gramStart"/>
              <w:r>
                <w:rPr>
                  <w:rFonts w:ascii="Arial Narrow" w:eastAsia="Arial Narrow" w:hAnsi="Arial Narrow" w:cs="Arial Narrow"/>
                  <w:color w:val="1155CC"/>
                  <w:sz w:val="20"/>
                  <w:szCs w:val="20"/>
                  <w:u w:val="single"/>
                </w:rPr>
                <w:t>uniprot.org</w:t>
              </w:r>
              <w:proofErr w:type="gramEnd"/>
              <w:r>
                <w:rPr>
                  <w:rFonts w:ascii="Arial Narrow" w:eastAsia="Arial Narrow" w:hAnsi="Arial Narrow" w:cs="Arial Narrow"/>
                  <w:color w:val="1155CC"/>
                  <w:sz w:val="20"/>
                  <w:szCs w:val="20"/>
                  <w:u w:val="single"/>
                </w:rPr>
                <w:t>/help/</w:t>
              </w:r>
              <w:proofErr w:type="spellStart"/>
              <w:r>
                <w:rPr>
                  <w:rFonts w:ascii="Arial Narrow" w:eastAsia="Arial Narrow" w:hAnsi="Arial Narrow" w:cs="Arial Narrow"/>
                  <w:color w:val="1155CC"/>
                  <w:sz w:val="20"/>
                  <w:szCs w:val="20"/>
                  <w:u w:val="single"/>
                </w:rPr>
                <w:t>deleted_accessions</w:t>
              </w:r>
              <w:proofErr w:type="spellEnd"/>
            </w:hyperlink>
            <w:hyperlink r:id="rId106"/>
          </w:p>
        </w:tc>
      </w:tr>
      <w:tr w:rsidR="00317BE3" w14:paraId="29451DCD" w14:textId="77777777">
        <w:trPr>
          <w:trHeight w:val="1240"/>
        </w:trPr>
        <w:tc>
          <w:tcPr>
            <w:tcW w:w="7005" w:type="dxa"/>
            <w:tcBorders>
              <w:top w:val="single" w:sz="8" w:space="0" w:color="666666"/>
              <w:left w:val="single" w:sz="8" w:space="0" w:color="666666"/>
              <w:bottom w:val="single" w:sz="8" w:space="0" w:color="666666"/>
              <w:right w:val="single" w:sz="8" w:space="0" w:color="666666"/>
            </w:tcBorders>
            <w:tcMar>
              <w:left w:w="21" w:type="dxa"/>
            </w:tcMar>
          </w:tcPr>
          <w:p w14:paraId="7335DF4C" w14:textId="77777777" w:rsidR="00317BE3" w:rsidRDefault="00A53922" w:rsidP="00EA2A5C">
            <w:pPr>
              <w:pStyle w:val="normal0"/>
              <w:jc w:val="left"/>
            </w:pPr>
            <w:r>
              <w:rPr>
                <w:b/>
                <w:sz w:val="20"/>
                <w:szCs w:val="20"/>
              </w:rPr>
              <w:t>Merging</w:t>
            </w:r>
            <w:r>
              <w:rPr>
                <w:sz w:val="20"/>
                <w:szCs w:val="20"/>
              </w:rPr>
              <w:t xml:space="preserve">: When two or more identifiers are merged, a new recipient identifier should be designated as the primary (citable) one and should contain information about the legacy identifiers it encompasses. Any legacy identifiers should continue to resolve via redirection to the primary identifier. </w:t>
            </w:r>
          </w:p>
        </w:tc>
        <w:tc>
          <w:tcPr>
            <w:tcW w:w="3780" w:type="dxa"/>
            <w:tcBorders>
              <w:top w:val="single" w:sz="8" w:space="0" w:color="666666"/>
              <w:left w:val="single" w:sz="8" w:space="0" w:color="666666"/>
              <w:bottom w:val="single" w:sz="8" w:space="0" w:color="666666"/>
              <w:right w:val="single" w:sz="8" w:space="0" w:color="666666"/>
            </w:tcBorders>
            <w:tcMar>
              <w:left w:w="21" w:type="dxa"/>
            </w:tcMar>
          </w:tcPr>
          <w:p w14:paraId="74C44983" w14:textId="77777777" w:rsidR="00317BE3" w:rsidRDefault="00A53922" w:rsidP="00EA2A5C">
            <w:pPr>
              <w:pStyle w:val="normal0"/>
              <w:jc w:val="left"/>
            </w:pPr>
            <w:proofErr w:type="spellStart"/>
            <w:r>
              <w:rPr>
                <w:sz w:val="20"/>
                <w:szCs w:val="20"/>
              </w:rPr>
              <w:t>UniProt</w:t>
            </w:r>
            <w:proofErr w:type="spellEnd"/>
            <w:r>
              <w:rPr>
                <w:sz w:val="20"/>
                <w:szCs w:val="20"/>
              </w:rPr>
              <w:t xml:space="preserve"> entries Q57339 and O08022 have been merged into Q00626. Q57339 and O08022 are redirected to Q00626.</w:t>
            </w:r>
          </w:p>
        </w:tc>
      </w:tr>
      <w:tr w:rsidR="00317BE3" w14:paraId="532C035A" w14:textId="77777777">
        <w:tc>
          <w:tcPr>
            <w:tcW w:w="7005" w:type="dxa"/>
            <w:tcBorders>
              <w:top w:val="single" w:sz="8" w:space="0" w:color="666666"/>
              <w:left w:val="single" w:sz="8" w:space="0" w:color="666666"/>
              <w:bottom w:val="single" w:sz="8" w:space="0" w:color="666666"/>
              <w:right w:val="single" w:sz="8" w:space="0" w:color="666666"/>
            </w:tcBorders>
            <w:tcMar>
              <w:left w:w="21" w:type="dxa"/>
            </w:tcMar>
          </w:tcPr>
          <w:p w14:paraId="5B951B03" w14:textId="77777777" w:rsidR="00317BE3" w:rsidRDefault="00A53922" w:rsidP="00EA2A5C">
            <w:pPr>
              <w:pStyle w:val="normal0"/>
              <w:jc w:val="left"/>
            </w:pPr>
            <w:r>
              <w:rPr>
                <w:b/>
                <w:sz w:val="20"/>
                <w:szCs w:val="20"/>
              </w:rPr>
              <w:t>Splitting</w:t>
            </w:r>
            <w:r>
              <w:rPr>
                <w:sz w:val="20"/>
                <w:szCs w:val="20"/>
              </w:rPr>
              <w:t xml:space="preserve">: If an identifier is split (demerged) into two or more new ones, new identifiers should be assigned to all the new entries. The legacy identifier must </w:t>
            </w:r>
            <w:r>
              <w:rPr>
                <w:color w:val="333333"/>
                <w:sz w:val="20"/>
                <w:szCs w:val="20"/>
                <w:highlight w:val="white"/>
              </w:rPr>
              <w:t>be marked as obsolete, but must also still resolve, providing a warning</w:t>
            </w:r>
            <w:r>
              <w:rPr>
                <w:sz w:val="20"/>
                <w:szCs w:val="20"/>
              </w:rPr>
              <w:t xml:space="preserve"> and pointers to the new ones as per above.</w:t>
            </w:r>
          </w:p>
        </w:tc>
        <w:tc>
          <w:tcPr>
            <w:tcW w:w="3780" w:type="dxa"/>
            <w:tcBorders>
              <w:top w:val="single" w:sz="8" w:space="0" w:color="666666"/>
              <w:left w:val="single" w:sz="8" w:space="0" w:color="666666"/>
              <w:bottom w:val="single" w:sz="8" w:space="0" w:color="666666"/>
              <w:right w:val="single" w:sz="8" w:space="0" w:color="666666"/>
            </w:tcBorders>
            <w:tcMar>
              <w:left w:w="21" w:type="dxa"/>
            </w:tcMar>
          </w:tcPr>
          <w:p w14:paraId="023A1E41" w14:textId="77777777" w:rsidR="00317BE3" w:rsidRDefault="00A53922" w:rsidP="00EA2A5C">
            <w:pPr>
              <w:pStyle w:val="normal0"/>
              <w:jc w:val="left"/>
            </w:pPr>
            <w:proofErr w:type="spellStart"/>
            <w:r>
              <w:rPr>
                <w:sz w:val="20"/>
                <w:szCs w:val="20"/>
              </w:rPr>
              <w:t>UniProt</w:t>
            </w:r>
            <w:proofErr w:type="spellEnd"/>
            <w:r>
              <w:rPr>
                <w:sz w:val="20"/>
                <w:szCs w:val="20"/>
              </w:rPr>
              <w:t xml:space="preserve"> entry P29358 has been split into P68250 and P68251. P29358 displays a warning and links to the demerged entries:</w:t>
            </w:r>
          </w:p>
          <w:p w14:paraId="0AA76721" w14:textId="77777777" w:rsidR="00317BE3" w:rsidRDefault="00A53922" w:rsidP="00EA2A5C">
            <w:pPr>
              <w:pStyle w:val="normal0"/>
              <w:jc w:val="left"/>
            </w:pPr>
            <w:hyperlink r:id="rId107">
              <w:r>
                <w:rPr>
                  <w:rFonts w:ascii="Arial Narrow" w:eastAsia="Arial Narrow" w:hAnsi="Arial Narrow" w:cs="Arial Narrow"/>
                  <w:color w:val="1155CC"/>
                  <w:sz w:val="20"/>
                  <w:szCs w:val="20"/>
                  <w:u w:val="single"/>
                </w:rPr>
                <w:t>http://www.uniprot.org/uniprot/P29358</w:t>
              </w:r>
            </w:hyperlink>
            <w:r>
              <w:rPr>
                <w:sz w:val="20"/>
                <w:szCs w:val="20"/>
              </w:rPr>
              <w:t xml:space="preserve"> </w:t>
            </w:r>
          </w:p>
        </w:tc>
      </w:tr>
    </w:tbl>
    <w:p w14:paraId="5A898487" w14:textId="77777777" w:rsidR="00317BE3" w:rsidRDefault="00A53922" w:rsidP="00EA2A5C">
      <w:pPr>
        <w:pStyle w:val="Heading2"/>
      </w:pPr>
      <w:bookmarkStart w:id="15" w:name="_lnxbz9" w:colFirst="0" w:colLast="0"/>
      <w:bookmarkEnd w:id="15"/>
      <w:r>
        <w:lastRenderedPageBreak/>
        <w:t>9. Document the identifiers you issue and use</w:t>
      </w:r>
    </w:p>
    <w:p w14:paraId="68AE0EB9" w14:textId="77777777" w:rsidR="00317BE3" w:rsidRDefault="00A53922" w:rsidP="00EA2A5C">
      <w:pPr>
        <w:pStyle w:val="normal0"/>
      </w:pPr>
      <w:r>
        <w:t xml:space="preserve">The global-scale identification cycle is a shared responsibility and provider/consumer roles often overlap in the context of data integration. Whether you issue your own identifiers or just reference those of others, you should document your identifier policies. </w:t>
      </w:r>
      <w:r>
        <w:rPr>
          <w:b/>
        </w:rPr>
        <w:t xml:space="preserve">Supplemental Table S5 </w:t>
      </w:r>
      <w:r>
        <w:t>provides a set of questions that data providers and re-distributors can use to develop such documentation. Documentation should be published alongside and/or included together in a dataset description, for instance, as outlined in the recommendations for Dataset Descriptions developed by the W3C Semantic Web in the Health Care and Life Sciences Interest Group [</w:t>
      </w:r>
      <w:hyperlink r:id="rId108" w:anchor="s6_3">
        <w:r>
          <w:rPr>
            <w:color w:val="1155CC"/>
            <w:u w:val="single"/>
          </w:rPr>
          <w:t>10</w:t>
        </w:r>
      </w:hyperlink>
      <w:r>
        <w:t xml:space="preserve">]. For examples of such documentation see </w:t>
      </w:r>
      <w:proofErr w:type="spellStart"/>
      <w:proofErr w:type="gramStart"/>
      <w:r>
        <w:t>ChEMBL</w:t>
      </w:r>
      <w:proofErr w:type="spellEnd"/>
      <w:r>
        <w:t>[</w:t>
      </w:r>
      <w:proofErr w:type="gramEnd"/>
      <w:r>
        <w:fldChar w:fldCharType="begin"/>
      </w:r>
      <w:r>
        <w:instrText xml:space="preserve"> HYPERLINK "http://www.w3.org/TR/hcls-dataset/" \l "appendix_1" \h </w:instrText>
      </w:r>
      <w:r>
        <w:fldChar w:fldCharType="separate"/>
      </w:r>
      <w:r>
        <w:rPr>
          <w:color w:val="1155CC"/>
          <w:u w:val="single"/>
        </w:rPr>
        <w:t>26</w:t>
      </w:r>
      <w:r>
        <w:rPr>
          <w:color w:val="1155CC"/>
          <w:u w:val="single"/>
        </w:rPr>
        <w:fldChar w:fldCharType="end"/>
      </w:r>
      <w:r>
        <w:t>] and Monarch[</w:t>
      </w:r>
      <w:hyperlink r:id="rId109" w:anchor="identifiers">
        <w:r>
          <w:rPr>
            <w:color w:val="1155CC"/>
            <w:u w:val="single"/>
          </w:rPr>
          <w:t>27</w:t>
        </w:r>
      </w:hyperlink>
      <w:r>
        <w:t xml:space="preserve">]; the format may vary. </w:t>
      </w:r>
    </w:p>
    <w:p w14:paraId="7877CDAF" w14:textId="77777777" w:rsidR="00317BE3" w:rsidRDefault="00A53922" w:rsidP="00EA2A5C">
      <w:pPr>
        <w:pStyle w:val="Heading2"/>
      </w:pPr>
      <w:bookmarkStart w:id="16" w:name="_35nkun2" w:colFirst="0" w:colLast="0"/>
      <w:bookmarkEnd w:id="16"/>
      <w:r>
        <w:t>10. Reference and display responsibly</w:t>
      </w:r>
    </w:p>
    <w:p w14:paraId="271AA3CB" w14:textId="77777777" w:rsidR="00317BE3" w:rsidRDefault="00A53922" w:rsidP="00EA2A5C">
      <w:pPr>
        <w:pStyle w:val="normal0"/>
      </w:pPr>
      <w:r>
        <w:t xml:space="preserve">The final lesson describes referencing recommendations for data redistributors: data aggregators, who collect information from different sources and re-display it; data publishers, who disseminate scientific knowledge through publications; and online reference material such as </w:t>
      </w:r>
      <w:proofErr w:type="spellStart"/>
      <w:proofErr w:type="gramStart"/>
      <w:r>
        <w:t>WikiData</w:t>
      </w:r>
      <w:proofErr w:type="spellEnd"/>
      <w:r>
        <w:t>[</w:t>
      </w:r>
      <w:proofErr w:type="gramEnd"/>
      <w:r>
        <w:fldChar w:fldCharType="begin"/>
      </w:r>
      <w:r>
        <w:instrText xml:space="preserve"> HYPERLINK "https://www.wikidata.org" \h </w:instrText>
      </w:r>
      <w:r>
        <w:fldChar w:fldCharType="separate"/>
      </w:r>
      <w:r>
        <w:rPr>
          <w:color w:val="1155CC"/>
          <w:u w:val="single"/>
        </w:rPr>
        <w:t>28</w:t>
      </w:r>
      <w:r>
        <w:rPr>
          <w:color w:val="1155CC"/>
          <w:u w:val="single"/>
        </w:rPr>
        <w:fldChar w:fldCharType="end"/>
      </w:r>
      <w:r>
        <w:t>].</w:t>
      </w:r>
    </w:p>
    <w:p w14:paraId="440A67E8" w14:textId="77777777" w:rsidR="00317BE3" w:rsidRDefault="00317BE3" w:rsidP="00EA2A5C">
      <w:pPr>
        <w:pStyle w:val="normal0"/>
      </w:pPr>
    </w:p>
    <w:p w14:paraId="5E40FBDB" w14:textId="77777777" w:rsidR="00317BE3" w:rsidRDefault="00A53922" w:rsidP="00EA2A5C">
      <w:pPr>
        <w:pStyle w:val="normal0"/>
      </w:pPr>
      <w:r>
        <w:t xml:space="preserve">When external entities are referenced in narrative online text, they should be hyperlinked to their URIs or to pages/metadata containing their URIs. </w:t>
      </w:r>
      <w:r>
        <w:rPr>
          <w:rFonts w:ascii="Consolas" w:eastAsia="Consolas" w:hAnsi="Consolas" w:cs="Consolas"/>
        </w:rPr>
        <w:t>Access URLs</w:t>
      </w:r>
      <w:r>
        <w:t xml:space="preserve"> are volatile (see </w:t>
      </w:r>
      <w:r>
        <w:rPr>
          <w:b/>
        </w:rPr>
        <w:t>Lesson 4</w:t>
      </w:r>
      <w:r>
        <w:t xml:space="preserve">) and must not be used for referencing or linking in any context intended to persist. Redistributors of data should monitor their references to other sources; any ‘dead’ links should be reported to the original data provider. If the original provider does not fix the broken link, your reference to it should be marked obsolete both visibly (for user interaction/interpretation), and within any accompanying metadata (for computational interaction/propagation). Differentiate identifiers linked internally within your application from identifiers linked outside your application; one way to do this is by using the </w:t>
      </w:r>
      <w:proofErr w:type="spellStart"/>
      <w:r>
        <w:t>linkout</w:t>
      </w:r>
      <w:proofErr w:type="spellEnd"/>
      <w:r>
        <w:t xml:space="preserve"> icon; consider opening all external links in a new browser window or tab in order to avoid confusion.</w:t>
      </w:r>
    </w:p>
    <w:p w14:paraId="7E0AF2D2" w14:textId="77777777" w:rsidR="00317BE3" w:rsidRDefault="00317BE3" w:rsidP="00EA2A5C">
      <w:pPr>
        <w:pStyle w:val="normal0"/>
      </w:pPr>
    </w:p>
    <w:p w14:paraId="05126292" w14:textId="77777777" w:rsidR="00317BE3" w:rsidRDefault="00A53922" w:rsidP="00EA2A5C">
      <w:pPr>
        <w:pStyle w:val="normal0"/>
      </w:pPr>
      <w:r>
        <w:t xml:space="preserve">Broader issues associated with citation of data and software in the literature </w:t>
      </w:r>
      <w:proofErr w:type="gramStart"/>
      <w:r>
        <w:t>are</w:t>
      </w:r>
      <w:proofErr w:type="gramEnd"/>
      <w:r>
        <w:t xml:space="preserve"> outside of the scope of this paper, but </w:t>
      </w:r>
      <w:r>
        <w:rPr>
          <w:b/>
        </w:rPr>
        <w:t>Text S1</w:t>
      </w:r>
      <w:r>
        <w:t xml:space="preserve"> lists relevant complementary efforts.</w:t>
      </w:r>
    </w:p>
    <w:p w14:paraId="2D5C2D51" w14:textId="77777777" w:rsidR="00317BE3" w:rsidRDefault="00A53922" w:rsidP="00EA2A5C">
      <w:pPr>
        <w:pStyle w:val="Heading2"/>
      </w:pPr>
      <w:bookmarkStart w:id="17" w:name="_rvq15uljbf5y" w:colFirst="0" w:colLast="0"/>
      <w:bookmarkEnd w:id="17"/>
      <w:r>
        <w:t>Conclusion</w:t>
      </w:r>
    </w:p>
    <w:p w14:paraId="444351B2" w14:textId="77777777" w:rsidR="00317BE3" w:rsidRDefault="00A53922" w:rsidP="00EA2A5C">
      <w:pPr>
        <w:pStyle w:val="normal0"/>
      </w:pPr>
      <w:r>
        <w:t>Better identifier design, provisioning, documentation, and referencing can address many of the identifier problems encountered in the life science data cycle. We recognize that improvements to the quality, diversity, and uptake of identifier tooling would lower barriers to adoption of these lessons. We will undertake to address these gaps in the relevant initiatives (</w:t>
      </w:r>
      <w:r>
        <w:rPr>
          <w:b/>
        </w:rPr>
        <w:t>Text S1</w:t>
      </w:r>
      <w:r>
        <w:t xml:space="preserve">). We also recognize the need for formal software-engineering specifications of identifier formats and/or alignment between existing specifications and hope that this paper can catalyze such efforts. </w:t>
      </w:r>
    </w:p>
    <w:p w14:paraId="65A1E843" w14:textId="77777777" w:rsidR="00317BE3" w:rsidRDefault="00317BE3" w:rsidP="00EA2A5C">
      <w:pPr>
        <w:pStyle w:val="normal0"/>
      </w:pPr>
    </w:p>
    <w:p w14:paraId="0F5840F0" w14:textId="77777777" w:rsidR="00317BE3" w:rsidRDefault="00A53922" w:rsidP="00EA2A5C">
      <w:pPr>
        <w:pStyle w:val="Heading2"/>
      </w:pPr>
      <w:bookmarkStart w:id="18" w:name="_fwqspli9klsy" w:colFirst="0" w:colLast="0"/>
      <w:bookmarkEnd w:id="18"/>
      <w:r>
        <w:t>Supporting information</w:t>
      </w:r>
    </w:p>
    <w:p w14:paraId="47BFEE8F" w14:textId="77777777" w:rsidR="00317BE3" w:rsidRDefault="00EA2A5C" w:rsidP="00EA2A5C">
      <w:pPr>
        <w:pStyle w:val="normal0"/>
      </w:pPr>
      <w:r>
        <w:t>See attached</w:t>
      </w:r>
    </w:p>
    <w:p w14:paraId="292FC6B5" w14:textId="77777777" w:rsidR="00317BE3" w:rsidRDefault="00317BE3" w:rsidP="00EA2A5C">
      <w:pPr>
        <w:pStyle w:val="normal0"/>
      </w:pPr>
    </w:p>
    <w:p w14:paraId="28E6D0AB" w14:textId="77777777" w:rsidR="00317BE3" w:rsidRDefault="00A53922" w:rsidP="00EA2A5C">
      <w:pPr>
        <w:pStyle w:val="Heading1"/>
      </w:pPr>
      <w:bookmarkStart w:id="19" w:name="_44sinio" w:colFirst="0" w:colLast="0"/>
      <w:bookmarkEnd w:id="19"/>
      <w:r>
        <w:rPr>
          <w:sz w:val="22"/>
          <w:szCs w:val="22"/>
        </w:rPr>
        <w:t>Ackn</w:t>
      </w:r>
      <w:bookmarkStart w:id="20" w:name="_GoBack"/>
      <w:bookmarkEnd w:id="20"/>
      <w:r>
        <w:rPr>
          <w:sz w:val="22"/>
          <w:szCs w:val="22"/>
        </w:rPr>
        <w:t>owledgments</w:t>
      </w:r>
    </w:p>
    <w:p w14:paraId="39DFEB77" w14:textId="77777777" w:rsidR="00317BE3" w:rsidRDefault="00A53922" w:rsidP="00EA2A5C">
      <w:pPr>
        <w:pStyle w:val="normal0"/>
      </w:pPr>
      <w:r>
        <w:t xml:space="preserve">JA McMurry, T Burdett, N </w:t>
      </w:r>
      <w:proofErr w:type="spellStart"/>
      <w:r>
        <w:t>Juty</w:t>
      </w:r>
      <w:proofErr w:type="spellEnd"/>
      <w:r>
        <w:t xml:space="preserve">, S </w:t>
      </w:r>
      <w:proofErr w:type="spellStart"/>
      <w:r>
        <w:t>Jupp</w:t>
      </w:r>
      <w:proofErr w:type="spellEnd"/>
      <w:r>
        <w:t xml:space="preserve">, and C Morris were supported in part by the </w:t>
      </w:r>
      <w:proofErr w:type="spellStart"/>
      <w:r>
        <w:t>BioMedBridges</w:t>
      </w:r>
      <w:proofErr w:type="spellEnd"/>
      <w:r>
        <w:t xml:space="preserve"> project, which is funded by the European Union Seventh Framework </w:t>
      </w:r>
      <w:proofErr w:type="spellStart"/>
      <w:r>
        <w:t>Programme</w:t>
      </w:r>
      <w:proofErr w:type="spellEnd"/>
      <w:r>
        <w:t xml:space="preserve"> within Research Infrastructures of the FP7 Capacities Specific </w:t>
      </w:r>
      <w:proofErr w:type="spellStart"/>
      <w:r>
        <w:t>Programme</w:t>
      </w:r>
      <w:proofErr w:type="spellEnd"/>
      <w:r>
        <w:t xml:space="preserve">, grant agreement number </w:t>
      </w:r>
      <w:hyperlink r:id="rId110">
        <w:r>
          <w:rPr>
            <w:color w:val="1155CC"/>
            <w:u w:val="single"/>
          </w:rPr>
          <w:t>284209</w:t>
        </w:r>
      </w:hyperlink>
      <w:r>
        <w:t xml:space="preserve">. </w:t>
      </w:r>
      <w:hyperlink r:id="rId111">
        <w:r>
          <w:rPr>
            <w:color w:val="1155CC"/>
            <w:u w:val="single"/>
          </w:rPr>
          <w:t>EMBL-EBI core funds</w:t>
        </w:r>
      </w:hyperlink>
      <w:r>
        <w:t xml:space="preserve"> supported H Parkinson, MJ Martin, J </w:t>
      </w:r>
      <w:proofErr w:type="spellStart"/>
      <w:r>
        <w:t>McEntyre</w:t>
      </w:r>
      <w:proofErr w:type="spellEnd"/>
      <w:r>
        <w:t xml:space="preserve">, H </w:t>
      </w:r>
      <w:proofErr w:type="spellStart"/>
      <w:r>
        <w:t>Hermjakob</w:t>
      </w:r>
      <w:proofErr w:type="spellEnd"/>
      <w:r>
        <w:t xml:space="preserve">, J Malone, </w:t>
      </w:r>
      <w:proofErr w:type="gramStart"/>
      <w:r>
        <w:t>M</w:t>
      </w:r>
      <w:proofErr w:type="gramEnd"/>
      <w:r>
        <w:t xml:space="preserve"> </w:t>
      </w:r>
      <w:proofErr w:type="spellStart"/>
      <w:r>
        <w:t>Courtot</w:t>
      </w:r>
      <w:proofErr w:type="spellEnd"/>
      <w:r>
        <w:t xml:space="preserve">. </w:t>
      </w:r>
      <w:hyperlink r:id="rId112">
        <w:r>
          <w:rPr>
            <w:color w:val="1155CC"/>
            <w:u w:val="single"/>
          </w:rPr>
          <w:t>ELIXIR core funds</w:t>
        </w:r>
      </w:hyperlink>
      <w:r>
        <w:t xml:space="preserve"> supported N </w:t>
      </w:r>
      <w:proofErr w:type="spellStart"/>
      <w:r>
        <w:t>Blomberg</w:t>
      </w:r>
      <w:proofErr w:type="spellEnd"/>
      <w:r>
        <w:t xml:space="preserve">, R Jimenez. The European Commission provided additional support for Simon </w:t>
      </w:r>
      <w:proofErr w:type="spellStart"/>
      <w:r>
        <w:t>Jupp</w:t>
      </w:r>
      <w:proofErr w:type="spellEnd"/>
      <w:r>
        <w:t xml:space="preserve"> under grant number </w:t>
      </w:r>
      <w:hyperlink r:id="rId113">
        <w:r>
          <w:rPr>
            <w:color w:val="1155CC"/>
            <w:u w:val="single"/>
          </w:rPr>
          <w:t>601043</w:t>
        </w:r>
      </w:hyperlink>
      <w:r>
        <w:t xml:space="preserve"> (“DIACHRON”) and for N </w:t>
      </w:r>
      <w:proofErr w:type="spellStart"/>
      <w:r>
        <w:t>Juty</w:t>
      </w:r>
      <w:proofErr w:type="spellEnd"/>
      <w:r>
        <w:t xml:space="preserve"> and H </w:t>
      </w:r>
      <w:proofErr w:type="spellStart"/>
      <w:r>
        <w:t>Hermjakob</w:t>
      </w:r>
      <w:proofErr w:type="spellEnd"/>
      <w:r>
        <w:t xml:space="preserve"> under grant number </w:t>
      </w:r>
      <w:hyperlink r:id="rId114">
        <w:r>
          <w:rPr>
            <w:color w:val="1155CC"/>
            <w:u w:val="single"/>
          </w:rPr>
          <w:t>312455</w:t>
        </w:r>
      </w:hyperlink>
      <w:r>
        <w:t xml:space="preserve"> (“Infrastructure for Systems Biology - Europe (ISBE)”). The Drug Disease Model Resources grant number </w:t>
      </w:r>
      <w:proofErr w:type="spellStart"/>
      <w:r>
        <w:t>DDMoRe</w:t>
      </w:r>
      <w:proofErr w:type="spellEnd"/>
      <w:r>
        <w:t xml:space="preserve"> </w:t>
      </w:r>
      <w:hyperlink r:id="rId115">
        <w:r>
          <w:rPr>
            <w:color w:val="1155CC"/>
            <w:u w:val="single"/>
          </w:rPr>
          <w:t>115156</w:t>
        </w:r>
      </w:hyperlink>
      <w:r>
        <w:t xml:space="preserve"> (“Innovative Medicines Initiative”) supported C. </w:t>
      </w:r>
      <w:proofErr w:type="spellStart"/>
      <w:r>
        <w:t>Laibe</w:t>
      </w:r>
      <w:proofErr w:type="spellEnd"/>
      <w:r>
        <w:t xml:space="preserve">. Support was also received from the following BBSRC grants: </w:t>
      </w:r>
      <w:hyperlink r:id="rId116">
        <w:r>
          <w:rPr>
            <w:color w:val="1155CC"/>
            <w:u w:val="single"/>
          </w:rPr>
          <w:t>BB/L005050/1</w:t>
        </w:r>
      </w:hyperlink>
      <w:r>
        <w:t xml:space="preserve"> (“ELIXIR-UK, Manchester”) for SA </w:t>
      </w:r>
      <w:proofErr w:type="spellStart"/>
      <w:r>
        <w:t>Sansone</w:t>
      </w:r>
      <w:proofErr w:type="spellEnd"/>
      <w:r>
        <w:t xml:space="preserve">, A Gonzalez-Beltran and C Goble; </w:t>
      </w:r>
      <w:hyperlink r:id="rId117">
        <w:r>
          <w:rPr>
            <w:color w:val="1155CC"/>
            <w:u w:val="single"/>
          </w:rPr>
          <w:t>BB/M013189/1</w:t>
        </w:r>
      </w:hyperlink>
      <w:r>
        <w:t xml:space="preserve"> (“</w:t>
      </w:r>
      <w:proofErr w:type="spellStart"/>
      <w:r>
        <w:t>DMMCore</w:t>
      </w:r>
      <w:proofErr w:type="spellEnd"/>
      <w:r>
        <w:t xml:space="preserve">”) for C Goble, J </w:t>
      </w:r>
      <w:proofErr w:type="spellStart"/>
      <w:r>
        <w:t>Snoep</w:t>
      </w:r>
      <w:proofErr w:type="spellEnd"/>
      <w:r>
        <w:t xml:space="preserve">, and N Stanford; </w:t>
      </w:r>
      <w:hyperlink r:id="rId118">
        <w:r>
          <w:rPr>
            <w:color w:val="1155CC"/>
            <w:u w:val="single"/>
          </w:rPr>
          <w:t>BB/K019783/1</w:t>
        </w:r>
      </w:hyperlink>
      <w:r>
        <w:t xml:space="preserve"> (“Continued development of </w:t>
      </w:r>
      <w:proofErr w:type="spellStart"/>
      <w:r>
        <w:t>ChEBI</w:t>
      </w:r>
      <w:proofErr w:type="spellEnd"/>
      <w:r>
        <w:t xml:space="preserve">”) and </w:t>
      </w:r>
      <w:hyperlink r:id="rId119">
        <w:r>
          <w:rPr>
            <w:color w:val="1155CC"/>
            <w:u w:val="single"/>
          </w:rPr>
          <w:t>BB/M006891/1</w:t>
        </w:r>
      </w:hyperlink>
      <w:r>
        <w:t xml:space="preserve"> (“EMPATHY”) for N </w:t>
      </w:r>
      <w:proofErr w:type="spellStart"/>
      <w:r>
        <w:t>Swainston</w:t>
      </w:r>
      <w:proofErr w:type="spellEnd"/>
      <w:r>
        <w:t xml:space="preserve">; </w:t>
      </w:r>
      <w:hyperlink r:id="rId120">
        <w:r>
          <w:rPr>
            <w:color w:val="1155CC"/>
            <w:u w:val="single"/>
          </w:rPr>
          <w:t>BB/M017702/1</w:t>
        </w:r>
      </w:hyperlink>
      <w:r>
        <w:t xml:space="preserve"> (“SYNBIOCHEM”) for N </w:t>
      </w:r>
      <w:proofErr w:type="spellStart"/>
      <w:r>
        <w:t>Swainson</w:t>
      </w:r>
      <w:proofErr w:type="spellEnd"/>
      <w:r>
        <w:t xml:space="preserve"> and D Fellows; </w:t>
      </w:r>
      <w:hyperlink r:id="rId121">
        <w:r>
          <w:rPr>
            <w:color w:val="1155CC"/>
            <w:u w:val="single"/>
          </w:rPr>
          <w:t>BBS/E/B/000C0419</w:t>
        </w:r>
      </w:hyperlink>
      <w:r>
        <w:t xml:space="preserve"> (“A systems approach to understanding lipid, Ca2+ and MAPK </w:t>
      </w:r>
      <w:proofErr w:type="spellStart"/>
      <w:r>
        <w:t>signalling</w:t>
      </w:r>
      <w:proofErr w:type="spellEnd"/>
      <w:r>
        <w:t xml:space="preserve"> networks”) for N Le </w:t>
      </w:r>
      <w:proofErr w:type="spellStart"/>
      <w:r>
        <w:t>Novère</w:t>
      </w:r>
      <w:proofErr w:type="spellEnd"/>
      <w:r>
        <w:t xml:space="preserve">; </w:t>
      </w:r>
      <w:hyperlink r:id="rId122">
        <w:r>
          <w:rPr>
            <w:color w:val="1155CC"/>
            <w:u w:val="single"/>
          </w:rPr>
          <w:t>BB/L005069/1</w:t>
        </w:r>
      </w:hyperlink>
      <w:r>
        <w:t xml:space="preserve"> (“ELIXIR-UK, Oxford”) for SA </w:t>
      </w:r>
      <w:proofErr w:type="spellStart"/>
      <w:r>
        <w:t>Sansone</w:t>
      </w:r>
      <w:proofErr w:type="spellEnd"/>
      <w:r>
        <w:t>, A Gonzalez-</w:t>
      </w:r>
      <w:r>
        <w:lastRenderedPageBreak/>
        <w:t xml:space="preserve">Beltran and P </w:t>
      </w:r>
      <w:proofErr w:type="spellStart"/>
      <w:r>
        <w:t>Rocca</w:t>
      </w:r>
      <w:proofErr w:type="spellEnd"/>
      <w:r>
        <w:t xml:space="preserve">-Serra. NIH support was provided from the following grants: </w:t>
      </w:r>
      <w:hyperlink r:id="rId123">
        <w:r>
          <w:rPr>
            <w:color w:val="1155CC"/>
            <w:u w:val="single"/>
          </w:rPr>
          <w:t>U41HG007822</w:t>
        </w:r>
      </w:hyperlink>
      <w:r>
        <w:t xml:space="preserve"> (“</w:t>
      </w:r>
      <w:proofErr w:type="spellStart"/>
      <w:r>
        <w:t>UniProt</w:t>
      </w:r>
      <w:proofErr w:type="spellEnd"/>
      <w:r>
        <w:t xml:space="preserve">”) for MJ Martin; </w:t>
      </w:r>
      <w:hyperlink r:id="rId124">
        <w:r>
          <w:rPr>
            <w:color w:val="1155CC"/>
            <w:u w:val="single"/>
          </w:rPr>
          <w:t>U24AI117966-01</w:t>
        </w:r>
      </w:hyperlink>
      <w:r>
        <w:t xml:space="preserve"> (“</w:t>
      </w:r>
      <w:proofErr w:type="spellStart"/>
      <w:r>
        <w:t>bioCADDIE</w:t>
      </w:r>
      <w:proofErr w:type="spellEnd"/>
      <w:r>
        <w:t xml:space="preserve">”) for SA </w:t>
      </w:r>
      <w:proofErr w:type="spellStart"/>
      <w:r>
        <w:t>Sansone</w:t>
      </w:r>
      <w:proofErr w:type="spellEnd"/>
      <w:r>
        <w:t xml:space="preserve">, A Gonzalez-Beltran and P </w:t>
      </w:r>
      <w:proofErr w:type="spellStart"/>
      <w:r>
        <w:t>Rocca</w:t>
      </w:r>
      <w:proofErr w:type="spellEnd"/>
      <w:r>
        <w:t xml:space="preserve">-Serra; </w:t>
      </w:r>
      <w:hyperlink r:id="rId125">
        <w:r>
          <w:rPr>
            <w:color w:val="1155CC"/>
            <w:u w:val="single"/>
          </w:rPr>
          <w:t>U54AI117925</w:t>
        </w:r>
      </w:hyperlink>
      <w:r>
        <w:t xml:space="preserve"> (“CEDAR”) for M </w:t>
      </w:r>
      <w:proofErr w:type="spellStart"/>
      <w:r>
        <w:t>Dumontier</w:t>
      </w:r>
      <w:proofErr w:type="spellEnd"/>
      <w:r>
        <w:t xml:space="preserve">, SA </w:t>
      </w:r>
      <w:proofErr w:type="spellStart"/>
      <w:r>
        <w:t>Sansone</w:t>
      </w:r>
      <w:proofErr w:type="spellEnd"/>
      <w:r>
        <w:t xml:space="preserve">, A Gonzalez-Beltran and P </w:t>
      </w:r>
      <w:proofErr w:type="spellStart"/>
      <w:r>
        <w:t>Rocca</w:t>
      </w:r>
      <w:proofErr w:type="spellEnd"/>
      <w:r>
        <w:t xml:space="preserve">-Serra; </w:t>
      </w:r>
      <w:hyperlink r:id="rId126">
        <w:r>
          <w:rPr>
            <w:color w:val="1155CC"/>
            <w:u w:val="single"/>
          </w:rPr>
          <w:t>R24OD011883</w:t>
        </w:r>
      </w:hyperlink>
      <w:r>
        <w:t xml:space="preserve"> (“Monarch Initiative”) for CJ </w:t>
      </w:r>
      <w:proofErr w:type="spellStart"/>
      <w:r>
        <w:t>Mungall</w:t>
      </w:r>
      <w:proofErr w:type="spellEnd"/>
      <w:r>
        <w:t xml:space="preserve">, MA </w:t>
      </w:r>
      <w:proofErr w:type="spellStart"/>
      <w:r>
        <w:t>Haendel</w:t>
      </w:r>
      <w:proofErr w:type="spellEnd"/>
      <w:r>
        <w:t xml:space="preserve">, JA McMurry and NL Washington; </w:t>
      </w:r>
      <w:hyperlink r:id="rId127">
        <w:r>
          <w:rPr>
            <w:color w:val="1155CC"/>
            <w:u w:val="single"/>
          </w:rPr>
          <w:t>NHGRI P41HG002273-09</w:t>
        </w:r>
      </w:hyperlink>
      <w:r>
        <w:t xml:space="preserve"> (“Gene Ontology Consortium”) for CJ </w:t>
      </w:r>
      <w:proofErr w:type="spellStart"/>
      <w:r>
        <w:t>Mungall</w:t>
      </w:r>
      <w:proofErr w:type="spellEnd"/>
      <w:r>
        <w:t xml:space="preserve">. Additional support for CJ </w:t>
      </w:r>
      <w:proofErr w:type="spellStart"/>
      <w:r>
        <w:t>Mungall</w:t>
      </w:r>
      <w:proofErr w:type="spellEnd"/>
      <w:r>
        <w:t xml:space="preserve"> and NL Washington was received from the Director, Office of Science, </w:t>
      </w:r>
      <w:proofErr w:type="gramStart"/>
      <w:r>
        <w:t>Office of Basic Energy Sciences, of the U.S. Department of Energy under</w:t>
      </w:r>
      <w:proofErr w:type="gramEnd"/>
      <w:r>
        <w:t xml:space="preserve"> [Contract No. </w:t>
      </w:r>
      <w:hyperlink r:id="rId128">
        <w:r>
          <w:rPr>
            <w:color w:val="1155CC"/>
            <w:u w:val="single"/>
          </w:rPr>
          <w:t>DE-AC02-05CH11231</w:t>
        </w:r>
      </w:hyperlink>
      <w:r>
        <w:t>].</w:t>
      </w:r>
    </w:p>
    <w:p w14:paraId="5E5908AC" w14:textId="77777777" w:rsidR="00317BE3" w:rsidRDefault="00317BE3" w:rsidP="00EA2A5C">
      <w:pPr>
        <w:pStyle w:val="normal0"/>
      </w:pPr>
    </w:p>
    <w:p w14:paraId="18AEA386" w14:textId="77777777" w:rsidR="00317BE3" w:rsidRDefault="00A53922" w:rsidP="00EA2A5C">
      <w:pPr>
        <w:pStyle w:val="normal0"/>
      </w:pPr>
      <w:r>
        <w:t xml:space="preserve">The authors wish to thank </w:t>
      </w:r>
      <w:hyperlink r:id="rId129">
        <w:r>
          <w:rPr>
            <w:color w:val="1155CC"/>
            <w:u w:val="single"/>
          </w:rPr>
          <w:t>Mary Todd Bergman</w:t>
        </w:r>
      </w:hyperlink>
      <w:r>
        <w:t xml:space="preserve">, </w:t>
      </w:r>
      <w:hyperlink r:id="rId130">
        <w:r>
          <w:rPr>
            <w:color w:val="1155CC"/>
            <w:u w:val="single"/>
          </w:rPr>
          <w:t>Ewan Birney</w:t>
        </w:r>
      </w:hyperlink>
      <w:r>
        <w:t xml:space="preserve">, </w:t>
      </w:r>
      <w:hyperlink r:id="rId131">
        <w:r>
          <w:rPr>
            <w:color w:val="1155CC"/>
            <w:u w:val="single"/>
          </w:rPr>
          <w:t>Fiona Cunningham</w:t>
        </w:r>
      </w:hyperlink>
      <w:r>
        <w:t xml:space="preserve">, </w:t>
      </w:r>
      <w:hyperlink r:id="rId132">
        <w:r>
          <w:rPr>
            <w:color w:val="1155CC"/>
            <w:u w:val="single"/>
          </w:rPr>
          <w:t xml:space="preserve">Richard </w:t>
        </w:r>
        <w:proofErr w:type="spellStart"/>
        <w:r>
          <w:rPr>
            <w:color w:val="1155CC"/>
            <w:u w:val="single"/>
          </w:rPr>
          <w:t>Cyganiak</w:t>
        </w:r>
        <w:proofErr w:type="spellEnd"/>
      </w:hyperlink>
      <w:r>
        <w:t xml:space="preserve">, </w:t>
      </w:r>
      <w:hyperlink r:id="rId133">
        <w:r>
          <w:rPr>
            <w:color w:val="1155CC"/>
            <w:u w:val="single"/>
          </w:rPr>
          <w:t xml:space="preserve">Adam </w:t>
        </w:r>
        <w:proofErr w:type="spellStart"/>
        <w:r>
          <w:rPr>
            <w:color w:val="1155CC"/>
            <w:u w:val="single"/>
          </w:rPr>
          <w:t>Faulconbridge</w:t>
        </w:r>
        <w:proofErr w:type="spellEnd"/>
      </w:hyperlink>
      <w:r>
        <w:t xml:space="preserve">, </w:t>
      </w:r>
      <w:hyperlink r:id="rId134">
        <w:r>
          <w:rPr>
            <w:color w:val="1155CC"/>
            <w:u w:val="single"/>
          </w:rPr>
          <w:t xml:space="preserve">Andrew M </w:t>
        </w:r>
        <w:proofErr w:type="spellStart"/>
        <w:r>
          <w:rPr>
            <w:color w:val="1155CC"/>
            <w:u w:val="single"/>
          </w:rPr>
          <w:t>Jenkinson</w:t>
        </w:r>
      </w:hyperlink>
      <w:r>
        <w:t>,</w:t>
      </w:r>
      <w:hyperlink r:id="rId135">
        <w:r>
          <w:rPr>
            <w:color w:val="1155CC"/>
            <w:u w:val="single"/>
          </w:rPr>
          <w:t>Sirarat</w:t>
        </w:r>
        <w:proofErr w:type="spellEnd"/>
        <w:r>
          <w:rPr>
            <w:color w:val="1155CC"/>
            <w:u w:val="single"/>
          </w:rPr>
          <w:t xml:space="preserve"> </w:t>
        </w:r>
        <w:proofErr w:type="spellStart"/>
        <w:r>
          <w:rPr>
            <w:color w:val="1155CC"/>
            <w:u w:val="single"/>
          </w:rPr>
          <w:t>Sarntivijai</w:t>
        </w:r>
        <w:proofErr w:type="spellEnd"/>
      </w:hyperlink>
      <w:r>
        <w:t xml:space="preserve">, </w:t>
      </w:r>
      <w:hyperlink r:id="rId136">
        <w:r>
          <w:rPr>
            <w:color w:val="1155CC"/>
            <w:u w:val="single"/>
          </w:rPr>
          <w:t xml:space="preserve">Stephanie </w:t>
        </w:r>
        <w:proofErr w:type="spellStart"/>
        <w:r>
          <w:rPr>
            <w:color w:val="1155CC"/>
            <w:u w:val="single"/>
          </w:rPr>
          <w:t>Suhr</w:t>
        </w:r>
        <w:proofErr w:type="spellEnd"/>
      </w:hyperlink>
      <w:r>
        <w:t xml:space="preserve">, </w:t>
      </w:r>
      <w:hyperlink r:id="rId137">
        <w:r>
          <w:rPr>
            <w:color w:val="1155CC"/>
            <w:u w:val="single"/>
          </w:rPr>
          <w:t>Eleanor Williams</w:t>
        </w:r>
      </w:hyperlink>
      <w:r>
        <w:t xml:space="preserve">, and </w:t>
      </w:r>
      <w:hyperlink r:id="rId138">
        <w:r>
          <w:rPr>
            <w:color w:val="1155CC"/>
            <w:u w:val="single"/>
          </w:rPr>
          <w:t>Tim Clark</w:t>
        </w:r>
      </w:hyperlink>
      <w:r>
        <w:t xml:space="preserve"> for their valuable feedback and suggestions. We also wish to thank the </w:t>
      </w:r>
      <w:proofErr w:type="spellStart"/>
      <w:r>
        <w:t>BioMedBridges</w:t>
      </w:r>
      <w:proofErr w:type="spellEnd"/>
      <w:r>
        <w:t xml:space="preserve"> Scientific Advisory Board for the suggestion to address this important issue and the reviewers for their constructive comments.</w:t>
      </w:r>
    </w:p>
    <w:p w14:paraId="7EC41AE0" w14:textId="77777777" w:rsidR="00317BE3" w:rsidRDefault="00A53922" w:rsidP="00EA2A5C">
      <w:pPr>
        <w:pStyle w:val="Heading1"/>
      </w:pPr>
      <w:bookmarkStart w:id="21" w:name="_dbm5y6kneu58" w:colFirst="0" w:colLast="0"/>
      <w:bookmarkEnd w:id="21"/>
      <w:r>
        <w:t>References</w:t>
      </w:r>
    </w:p>
    <w:p w14:paraId="4448035A" w14:textId="77777777" w:rsidR="00317BE3" w:rsidRDefault="00A53922" w:rsidP="00EA2A5C">
      <w:pPr>
        <w:pStyle w:val="normal0"/>
        <w:numPr>
          <w:ilvl w:val="0"/>
          <w:numId w:val="4"/>
        </w:numPr>
        <w:spacing w:after="200"/>
        <w:ind w:left="714" w:hanging="357"/>
        <w:rPr>
          <w:sz w:val="20"/>
          <w:szCs w:val="20"/>
        </w:rPr>
      </w:pPr>
      <w:r>
        <w:rPr>
          <w:sz w:val="20"/>
          <w:szCs w:val="20"/>
        </w:rPr>
        <w:t xml:space="preserve">Van de </w:t>
      </w:r>
      <w:proofErr w:type="spellStart"/>
      <w:r>
        <w:rPr>
          <w:sz w:val="20"/>
          <w:szCs w:val="20"/>
        </w:rPr>
        <w:t>Sompel</w:t>
      </w:r>
      <w:proofErr w:type="spellEnd"/>
      <w:r>
        <w:rPr>
          <w:sz w:val="20"/>
          <w:szCs w:val="20"/>
        </w:rPr>
        <w:t xml:space="preserve"> H, Sanderson R, Shankar H, Klein M. Persistent Identifiers for Scholarly Assets and the Web: The Need for an Unambiguous Mapping. International Journal of Digital Curation 2014; 9: 331-342. </w:t>
      </w:r>
      <w:hyperlink r:id="rId139">
        <w:proofErr w:type="spellStart"/>
        <w:proofErr w:type="gramStart"/>
        <w:r>
          <w:rPr>
            <w:color w:val="1155CC"/>
            <w:sz w:val="20"/>
            <w:szCs w:val="20"/>
            <w:u w:val="single"/>
          </w:rPr>
          <w:t>doi</w:t>
        </w:r>
        <w:proofErr w:type="spellEnd"/>
        <w:proofErr w:type="gramEnd"/>
        <w:r>
          <w:rPr>
            <w:color w:val="1155CC"/>
            <w:sz w:val="20"/>
            <w:szCs w:val="20"/>
            <w:u w:val="single"/>
          </w:rPr>
          <w:t>: 10.2218/ijdc.v9i1.320</w:t>
        </w:r>
      </w:hyperlink>
    </w:p>
    <w:p w14:paraId="19B576D4" w14:textId="77777777" w:rsidR="00317BE3" w:rsidRDefault="00A53922" w:rsidP="00EA2A5C">
      <w:pPr>
        <w:pStyle w:val="normal0"/>
        <w:numPr>
          <w:ilvl w:val="0"/>
          <w:numId w:val="4"/>
        </w:numPr>
        <w:spacing w:after="200"/>
        <w:ind w:left="714" w:hanging="357"/>
        <w:rPr>
          <w:sz w:val="20"/>
          <w:szCs w:val="20"/>
        </w:rPr>
      </w:pPr>
      <w:proofErr w:type="spellStart"/>
      <w:r>
        <w:rPr>
          <w:sz w:val="20"/>
          <w:szCs w:val="20"/>
        </w:rPr>
        <w:t>Guralnick</w:t>
      </w:r>
      <w:proofErr w:type="spellEnd"/>
      <w:r>
        <w:rPr>
          <w:sz w:val="20"/>
          <w:szCs w:val="20"/>
        </w:rPr>
        <w:t xml:space="preserve"> RP, </w:t>
      </w:r>
      <w:proofErr w:type="spellStart"/>
      <w:r>
        <w:rPr>
          <w:sz w:val="20"/>
          <w:szCs w:val="20"/>
        </w:rPr>
        <w:t>Cellinese</w:t>
      </w:r>
      <w:proofErr w:type="spellEnd"/>
      <w:r>
        <w:rPr>
          <w:sz w:val="20"/>
          <w:szCs w:val="20"/>
        </w:rPr>
        <w:t xml:space="preserve"> N, Deck J, Pyle RL, </w:t>
      </w:r>
      <w:proofErr w:type="spellStart"/>
      <w:r>
        <w:rPr>
          <w:sz w:val="20"/>
          <w:szCs w:val="20"/>
        </w:rPr>
        <w:t>Kunze</w:t>
      </w:r>
      <w:proofErr w:type="spellEnd"/>
      <w:r>
        <w:rPr>
          <w:sz w:val="20"/>
          <w:szCs w:val="20"/>
        </w:rPr>
        <w:t xml:space="preserve"> J, </w:t>
      </w:r>
      <w:proofErr w:type="spellStart"/>
      <w:r>
        <w:rPr>
          <w:sz w:val="20"/>
          <w:szCs w:val="20"/>
        </w:rPr>
        <w:t>Penev</w:t>
      </w:r>
      <w:proofErr w:type="spellEnd"/>
      <w:r>
        <w:rPr>
          <w:sz w:val="20"/>
          <w:szCs w:val="20"/>
        </w:rPr>
        <w:t xml:space="preserve"> L, Walls R, </w:t>
      </w:r>
      <w:proofErr w:type="spellStart"/>
      <w:r>
        <w:rPr>
          <w:sz w:val="20"/>
          <w:szCs w:val="20"/>
        </w:rPr>
        <w:t>Hagedorn</w:t>
      </w:r>
      <w:proofErr w:type="spellEnd"/>
      <w:r>
        <w:rPr>
          <w:sz w:val="20"/>
          <w:szCs w:val="20"/>
        </w:rPr>
        <w:t xml:space="preserve"> G, </w:t>
      </w:r>
      <w:proofErr w:type="spellStart"/>
      <w:r>
        <w:rPr>
          <w:sz w:val="20"/>
          <w:szCs w:val="20"/>
        </w:rPr>
        <w:t>Agosti</w:t>
      </w:r>
      <w:proofErr w:type="spellEnd"/>
      <w:r>
        <w:rPr>
          <w:sz w:val="20"/>
          <w:szCs w:val="20"/>
        </w:rPr>
        <w:t xml:space="preserve"> D, </w:t>
      </w:r>
      <w:proofErr w:type="spellStart"/>
      <w:r>
        <w:rPr>
          <w:sz w:val="20"/>
          <w:szCs w:val="20"/>
        </w:rPr>
        <w:t>Wieczorek</w:t>
      </w:r>
      <w:proofErr w:type="spellEnd"/>
      <w:r>
        <w:rPr>
          <w:sz w:val="20"/>
          <w:szCs w:val="20"/>
        </w:rPr>
        <w:t xml:space="preserve"> J, </w:t>
      </w:r>
      <w:proofErr w:type="spellStart"/>
      <w:r>
        <w:rPr>
          <w:sz w:val="20"/>
          <w:szCs w:val="20"/>
        </w:rPr>
        <w:t>Catapano</w:t>
      </w:r>
      <w:proofErr w:type="spellEnd"/>
      <w:r>
        <w:rPr>
          <w:sz w:val="20"/>
          <w:szCs w:val="20"/>
        </w:rPr>
        <w:t xml:space="preserve"> T, Page EDM. Community Next Steps for Making Globally Unique Identifiers Work for </w:t>
      </w:r>
      <w:proofErr w:type="spellStart"/>
      <w:r>
        <w:rPr>
          <w:sz w:val="20"/>
          <w:szCs w:val="20"/>
        </w:rPr>
        <w:t>Biocollections</w:t>
      </w:r>
      <w:proofErr w:type="spellEnd"/>
      <w:r>
        <w:rPr>
          <w:sz w:val="20"/>
          <w:szCs w:val="20"/>
        </w:rPr>
        <w:t xml:space="preserve"> Data. </w:t>
      </w:r>
      <w:proofErr w:type="spellStart"/>
      <w:r>
        <w:rPr>
          <w:sz w:val="20"/>
          <w:szCs w:val="20"/>
        </w:rPr>
        <w:t>ZooKeys</w:t>
      </w:r>
      <w:proofErr w:type="spellEnd"/>
      <w:r>
        <w:rPr>
          <w:sz w:val="20"/>
          <w:szCs w:val="20"/>
        </w:rPr>
        <w:t xml:space="preserve"> 2015; 494: 133-154. </w:t>
      </w:r>
      <w:hyperlink r:id="rId140">
        <w:proofErr w:type="gramStart"/>
        <w:r>
          <w:rPr>
            <w:color w:val="1155CC"/>
            <w:sz w:val="20"/>
            <w:szCs w:val="20"/>
            <w:u w:val="single"/>
          </w:rPr>
          <w:t>doi:10.3897</w:t>
        </w:r>
        <w:proofErr w:type="gramEnd"/>
        <w:r>
          <w:rPr>
            <w:color w:val="1155CC"/>
            <w:sz w:val="20"/>
            <w:szCs w:val="20"/>
            <w:u w:val="single"/>
          </w:rPr>
          <w:t>/zookeys.494.9352</w:t>
        </w:r>
      </w:hyperlink>
    </w:p>
    <w:p w14:paraId="619C6267" w14:textId="77777777" w:rsidR="00317BE3" w:rsidRDefault="00A53922" w:rsidP="00EA2A5C">
      <w:pPr>
        <w:pStyle w:val="normal0"/>
        <w:numPr>
          <w:ilvl w:val="0"/>
          <w:numId w:val="4"/>
        </w:numPr>
        <w:spacing w:after="200"/>
        <w:ind w:left="714" w:hanging="357"/>
        <w:rPr>
          <w:sz w:val="20"/>
          <w:szCs w:val="20"/>
        </w:rPr>
      </w:pPr>
      <w:r>
        <w:rPr>
          <w:sz w:val="20"/>
          <w:szCs w:val="20"/>
        </w:rPr>
        <w:t xml:space="preserve">Data Citation Synthesis Group. Joint Declaration of Data Citation Principles. </w:t>
      </w:r>
      <w:proofErr w:type="spellStart"/>
      <w:r>
        <w:rPr>
          <w:sz w:val="20"/>
          <w:szCs w:val="20"/>
        </w:rPr>
        <w:t>Martone</w:t>
      </w:r>
      <w:proofErr w:type="spellEnd"/>
      <w:r>
        <w:rPr>
          <w:sz w:val="20"/>
          <w:szCs w:val="20"/>
        </w:rPr>
        <w:t xml:space="preserve"> M. (ed.) San Diego CA: FORCE11. 2013. Available from: </w:t>
      </w:r>
      <w:hyperlink r:id="rId141">
        <w:r>
          <w:rPr>
            <w:color w:val="1155CC"/>
            <w:sz w:val="20"/>
            <w:szCs w:val="20"/>
            <w:u w:val="single"/>
          </w:rPr>
          <w:t>https://www.force11.org/datacitation</w:t>
        </w:r>
      </w:hyperlink>
    </w:p>
    <w:p w14:paraId="4777FCE2" w14:textId="77777777" w:rsidR="00317BE3" w:rsidRDefault="00A53922" w:rsidP="00EA2A5C">
      <w:pPr>
        <w:pStyle w:val="normal0"/>
        <w:numPr>
          <w:ilvl w:val="0"/>
          <w:numId w:val="4"/>
        </w:numPr>
        <w:spacing w:after="200"/>
        <w:ind w:left="714" w:hanging="357"/>
        <w:rPr>
          <w:sz w:val="20"/>
          <w:szCs w:val="20"/>
        </w:rPr>
      </w:pPr>
      <w:r>
        <w:rPr>
          <w:sz w:val="20"/>
          <w:szCs w:val="20"/>
        </w:rPr>
        <w:t xml:space="preserve">Altman M, </w:t>
      </w:r>
      <w:proofErr w:type="spellStart"/>
      <w:r>
        <w:rPr>
          <w:sz w:val="20"/>
          <w:szCs w:val="20"/>
        </w:rPr>
        <w:t>Crosas</w:t>
      </w:r>
      <w:proofErr w:type="spellEnd"/>
      <w:r>
        <w:rPr>
          <w:sz w:val="20"/>
          <w:szCs w:val="20"/>
        </w:rPr>
        <w:t xml:space="preserve"> M. The Evolution of Data Citation: From Principles to Implementation. IASSIST Quarterly 37. 2013. Available from: </w:t>
      </w:r>
      <w:hyperlink r:id="rId142">
        <w:r>
          <w:rPr>
            <w:color w:val="1155CC"/>
            <w:sz w:val="20"/>
            <w:szCs w:val="20"/>
            <w:u w:val="single"/>
          </w:rPr>
          <w:t>http://www.iassistdata.org/downloads/iqvol371_4_altman.pdf</w:t>
        </w:r>
      </w:hyperlink>
    </w:p>
    <w:p w14:paraId="612D406B" w14:textId="77777777" w:rsidR="00317BE3" w:rsidRDefault="00A53922" w:rsidP="00EA2A5C">
      <w:pPr>
        <w:pStyle w:val="normal0"/>
        <w:numPr>
          <w:ilvl w:val="0"/>
          <w:numId w:val="4"/>
        </w:numPr>
        <w:spacing w:after="200"/>
        <w:ind w:left="714" w:hanging="357"/>
        <w:rPr>
          <w:sz w:val="20"/>
          <w:szCs w:val="20"/>
        </w:rPr>
      </w:pPr>
      <w:proofErr w:type="spellStart"/>
      <w:r>
        <w:rPr>
          <w:sz w:val="20"/>
          <w:szCs w:val="20"/>
        </w:rPr>
        <w:t>Bandrowski</w:t>
      </w:r>
      <w:proofErr w:type="spellEnd"/>
      <w:r>
        <w:rPr>
          <w:sz w:val="20"/>
          <w:szCs w:val="20"/>
        </w:rPr>
        <w:t xml:space="preserve"> A, Brush M, </w:t>
      </w:r>
      <w:proofErr w:type="spellStart"/>
      <w:r>
        <w:rPr>
          <w:sz w:val="20"/>
          <w:szCs w:val="20"/>
        </w:rPr>
        <w:t>Grethe</w:t>
      </w:r>
      <w:proofErr w:type="spellEnd"/>
      <w:r>
        <w:rPr>
          <w:sz w:val="20"/>
          <w:szCs w:val="20"/>
        </w:rPr>
        <w:t xml:space="preserve"> JS, </w:t>
      </w:r>
      <w:proofErr w:type="spellStart"/>
      <w:r>
        <w:rPr>
          <w:sz w:val="20"/>
          <w:szCs w:val="20"/>
        </w:rPr>
        <w:t>Haendel</w:t>
      </w:r>
      <w:proofErr w:type="spellEnd"/>
      <w:r>
        <w:rPr>
          <w:sz w:val="20"/>
          <w:szCs w:val="20"/>
        </w:rPr>
        <w:t xml:space="preserve"> MA, Kennedy DN, Hill S, et al. The Resource Identification Initiative: A cultural shift in publishing [version 2; referees: 2 approved]. F1000Research 2015, 4:134 </w:t>
      </w:r>
      <w:hyperlink r:id="rId143">
        <w:proofErr w:type="spellStart"/>
        <w:r>
          <w:rPr>
            <w:color w:val="1155CC"/>
            <w:sz w:val="20"/>
            <w:szCs w:val="20"/>
            <w:u w:val="single"/>
          </w:rPr>
          <w:t>doi</w:t>
        </w:r>
        <w:proofErr w:type="spellEnd"/>
        <w:r>
          <w:rPr>
            <w:color w:val="1155CC"/>
            <w:sz w:val="20"/>
            <w:szCs w:val="20"/>
            <w:u w:val="single"/>
          </w:rPr>
          <w:t>: 10.12688/f1000research.6555.2</w:t>
        </w:r>
      </w:hyperlink>
    </w:p>
    <w:p w14:paraId="200D2C4E" w14:textId="77777777" w:rsidR="00317BE3" w:rsidRDefault="00A53922" w:rsidP="00EA2A5C">
      <w:pPr>
        <w:pStyle w:val="normal0"/>
        <w:numPr>
          <w:ilvl w:val="0"/>
          <w:numId w:val="4"/>
        </w:numPr>
        <w:spacing w:after="200"/>
        <w:ind w:left="714" w:hanging="357"/>
        <w:rPr>
          <w:sz w:val="20"/>
          <w:szCs w:val="20"/>
        </w:rPr>
      </w:pPr>
      <w:r>
        <w:rPr>
          <w:sz w:val="20"/>
          <w:szCs w:val="20"/>
        </w:rPr>
        <w:t>JDDCP (Joint Declaration of Data Citation Principles). The FAIR data Guiding Principles. 2014. Available from:</w:t>
      </w:r>
      <w:hyperlink r:id="rId144">
        <w:r>
          <w:rPr>
            <w:color w:val="000080"/>
            <w:sz w:val="20"/>
            <w:szCs w:val="20"/>
            <w:u w:val="single"/>
          </w:rPr>
          <w:t xml:space="preserve"> </w:t>
        </w:r>
      </w:hyperlink>
      <w:hyperlink r:id="rId145">
        <w:r>
          <w:rPr>
            <w:color w:val="1155CC"/>
            <w:sz w:val="20"/>
            <w:szCs w:val="20"/>
            <w:u w:val="single"/>
          </w:rPr>
          <w:t>https://www.force11.org/group/fairgroup/fairprinciples</w:t>
        </w:r>
      </w:hyperlink>
      <w:r>
        <w:rPr>
          <w:sz w:val="20"/>
          <w:szCs w:val="20"/>
        </w:rPr>
        <w:t>.</w:t>
      </w:r>
    </w:p>
    <w:p w14:paraId="3469613D" w14:textId="77777777" w:rsidR="00317BE3" w:rsidRDefault="00A53922" w:rsidP="00EA2A5C">
      <w:pPr>
        <w:pStyle w:val="normal0"/>
        <w:numPr>
          <w:ilvl w:val="0"/>
          <w:numId w:val="4"/>
        </w:numPr>
        <w:spacing w:after="200"/>
        <w:ind w:left="714" w:hanging="357"/>
        <w:rPr>
          <w:sz w:val="20"/>
          <w:szCs w:val="20"/>
        </w:rPr>
      </w:pPr>
      <w:r>
        <w:rPr>
          <w:sz w:val="20"/>
          <w:szCs w:val="20"/>
        </w:rPr>
        <w:t xml:space="preserve">Starr J, Castro E, </w:t>
      </w:r>
      <w:proofErr w:type="spellStart"/>
      <w:r>
        <w:rPr>
          <w:sz w:val="20"/>
          <w:szCs w:val="20"/>
        </w:rPr>
        <w:t>Crosas</w:t>
      </w:r>
      <w:proofErr w:type="spellEnd"/>
      <w:r>
        <w:rPr>
          <w:sz w:val="20"/>
          <w:szCs w:val="20"/>
        </w:rPr>
        <w:t xml:space="preserve"> M, </w:t>
      </w:r>
      <w:proofErr w:type="spellStart"/>
      <w:r>
        <w:rPr>
          <w:sz w:val="20"/>
          <w:szCs w:val="20"/>
        </w:rPr>
        <w:t>Dumontier</w:t>
      </w:r>
      <w:proofErr w:type="spellEnd"/>
      <w:r>
        <w:rPr>
          <w:sz w:val="20"/>
          <w:szCs w:val="20"/>
        </w:rPr>
        <w:t xml:space="preserve"> M, Downs RR, </w:t>
      </w:r>
      <w:proofErr w:type="spellStart"/>
      <w:r>
        <w:rPr>
          <w:sz w:val="20"/>
          <w:szCs w:val="20"/>
        </w:rPr>
        <w:t>Duerr</w:t>
      </w:r>
      <w:proofErr w:type="spellEnd"/>
      <w:r>
        <w:rPr>
          <w:sz w:val="20"/>
          <w:szCs w:val="20"/>
        </w:rPr>
        <w:t xml:space="preserve"> R, et al. </w:t>
      </w:r>
      <w:r>
        <w:rPr>
          <w:color w:val="333333"/>
          <w:sz w:val="20"/>
          <w:szCs w:val="20"/>
          <w:highlight w:val="white"/>
        </w:rPr>
        <w:t xml:space="preserve">Achieving human and machine accessibility of cited data in scholarly publications. </w:t>
      </w:r>
      <w:proofErr w:type="spellStart"/>
      <w:r>
        <w:rPr>
          <w:i/>
          <w:color w:val="333333"/>
          <w:sz w:val="20"/>
          <w:szCs w:val="20"/>
          <w:highlight w:val="white"/>
        </w:rPr>
        <w:t>PeerJ</w:t>
      </w:r>
      <w:proofErr w:type="spellEnd"/>
      <w:r>
        <w:rPr>
          <w:i/>
          <w:color w:val="333333"/>
          <w:sz w:val="20"/>
          <w:szCs w:val="20"/>
          <w:highlight w:val="white"/>
        </w:rPr>
        <w:t xml:space="preserve"> Computer Science</w:t>
      </w:r>
      <w:r>
        <w:rPr>
          <w:color w:val="333333"/>
          <w:sz w:val="20"/>
          <w:szCs w:val="20"/>
          <w:highlight w:val="white"/>
        </w:rPr>
        <w:t xml:space="preserve"> 2015; 1:e1. </w:t>
      </w:r>
      <w:hyperlink r:id="rId146">
        <w:proofErr w:type="gramStart"/>
        <w:r>
          <w:rPr>
            <w:color w:val="1155CC"/>
            <w:sz w:val="20"/>
            <w:szCs w:val="20"/>
            <w:highlight w:val="white"/>
            <w:u w:val="single"/>
          </w:rPr>
          <w:t>doi:10.7717</w:t>
        </w:r>
        <w:proofErr w:type="gramEnd"/>
        <w:r>
          <w:rPr>
            <w:color w:val="1155CC"/>
            <w:sz w:val="20"/>
            <w:szCs w:val="20"/>
            <w:highlight w:val="white"/>
            <w:u w:val="single"/>
          </w:rPr>
          <w:t>/peerj-cs.1</w:t>
        </w:r>
      </w:hyperlink>
      <w:hyperlink r:id="rId147"/>
    </w:p>
    <w:p w14:paraId="49C41DC7" w14:textId="77777777" w:rsidR="00317BE3" w:rsidRDefault="00A53922" w:rsidP="00EA2A5C">
      <w:pPr>
        <w:pStyle w:val="normal0"/>
        <w:numPr>
          <w:ilvl w:val="0"/>
          <w:numId w:val="4"/>
        </w:numPr>
        <w:spacing w:after="200"/>
        <w:ind w:left="714" w:hanging="357"/>
        <w:rPr>
          <w:sz w:val="20"/>
          <w:szCs w:val="20"/>
        </w:rPr>
      </w:pPr>
      <w:proofErr w:type="spellStart"/>
      <w:r>
        <w:rPr>
          <w:sz w:val="20"/>
          <w:szCs w:val="20"/>
        </w:rPr>
        <w:t>Bradner</w:t>
      </w:r>
      <w:proofErr w:type="spellEnd"/>
      <w:r>
        <w:rPr>
          <w:sz w:val="20"/>
          <w:szCs w:val="20"/>
        </w:rPr>
        <w:t xml:space="preserve"> S. Key words for use in RFCs to Indicate Requirement Levels. 1997. Available from:</w:t>
      </w:r>
      <w:hyperlink r:id="rId148">
        <w:r>
          <w:rPr>
            <w:color w:val="000080"/>
            <w:sz w:val="20"/>
            <w:szCs w:val="20"/>
            <w:u w:val="single"/>
          </w:rPr>
          <w:t xml:space="preserve"> </w:t>
        </w:r>
      </w:hyperlink>
      <w:hyperlink r:id="rId149">
        <w:r>
          <w:rPr>
            <w:color w:val="1155CC"/>
            <w:sz w:val="20"/>
            <w:szCs w:val="20"/>
            <w:u w:val="single"/>
          </w:rPr>
          <w:t>http://www.ietf.org/rfc/rfc2119.txt</w:t>
        </w:r>
      </w:hyperlink>
      <w:r>
        <w:t xml:space="preserve">, </w:t>
      </w:r>
      <w:hyperlink r:id="rId150">
        <w:r>
          <w:rPr>
            <w:color w:val="1155CC"/>
            <w:sz w:val="20"/>
            <w:szCs w:val="20"/>
            <w:u w:val="single"/>
          </w:rPr>
          <w:t>doi</w:t>
        </w:r>
        <w:proofErr w:type="gramStart"/>
        <w:r>
          <w:rPr>
            <w:color w:val="1155CC"/>
            <w:sz w:val="20"/>
            <w:szCs w:val="20"/>
            <w:u w:val="single"/>
          </w:rPr>
          <w:t>:10.17487</w:t>
        </w:r>
        <w:proofErr w:type="gramEnd"/>
        <w:r>
          <w:rPr>
            <w:color w:val="1155CC"/>
            <w:sz w:val="20"/>
            <w:szCs w:val="20"/>
            <w:u w:val="single"/>
          </w:rPr>
          <w:t>/RFC2119</w:t>
        </w:r>
      </w:hyperlink>
    </w:p>
    <w:p w14:paraId="03B7331D" w14:textId="77777777" w:rsidR="00317BE3" w:rsidRDefault="00A53922" w:rsidP="00EA2A5C">
      <w:pPr>
        <w:pStyle w:val="normal0"/>
        <w:numPr>
          <w:ilvl w:val="0"/>
          <w:numId w:val="4"/>
        </w:numPr>
        <w:spacing w:after="200"/>
        <w:ind w:left="714" w:hanging="357"/>
        <w:rPr>
          <w:sz w:val="20"/>
          <w:szCs w:val="20"/>
        </w:rPr>
      </w:pPr>
      <w:r>
        <w:rPr>
          <w:color w:val="1F1F1F"/>
          <w:sz w:val="20"/>
          <w:szCs w:val="20"/>
          <w:highlight w:val="white"/>
        </w:rPr>
        <w:t xml:space="preserve">European Bioinformatics Institute. Protein Identifiers Cross-Reference REST documentation. 2015. Available from: </w:t>
      </w:r>
      <w:hyperlink r:id="rId151">
        <w:r>
          <w:rPr>
            <w:color w:val="1155CC"/>
            <w:sz w:val="20"/>
            <w:szCs w:val="20"/>
            <w:highlight w:val="white"/>
            <w:u w:val="single"/>
          </w:rPr>
          <w:t>http://www.ebi.ac.uk/Tools/picr/RESTDocumentation.do</w:t>
        </w:r>
      </w:hyperlink>
    </w:p>
    <w:p w14:paraId="26308E84" w14:textId="77777777" w:rsidR="00317BE3" w:rsidRDefault="00A53922" w:rsidP="00EA2A5C">
      <w:pPr>
        <w:pStyle w:val="normal0"/>
        <w:numPr>
          <w:ilvl w:val="0"/>
          <w:numId w:val="4"/>
        </w:numPr>
        <w:spacing w:after="200"/>
        <w:ind w:left="714" w:hanging="357"/>
        <w:rPr>
          <w:sz w:val="20"/>
          <w:szCs w:val="20"/>
        </w:rPr>
      </w:pPr>
      <w:r>
        <w:rPr>
          <w:color w:val="1F1F1F"/>
          <w:sz w:val="20"/>
          <w:szCs w:val="20"/>
          <w:highlight w:val="white"/>
        </w:rPr>
        <w:t>Gray</w:t>
      </w:r>
      <w:r>
        <w:rPr>
          <w:sz w:val="20"/>
          <w:szCs w:val="20"/>
        </w:rPr>
        <w:t xml:space="preserve"> AJG, </w:t>
      </w:r>
      <w:proofErr w:type="spellStart"/>
      <w:r>
        <w:rPr>
          <w:sz w:val="20"/>
          <w:szCs w:val="20"/>
        </w:rPr>
        <w:t>Baran</w:t>
      </w:r>
      <w:proofErr w:type="spellEnd"/>
      <w:r>
        <w:rPr>
          <w:sz w:val="20"/>
          <w:szCs w:val="20"/>
        </w:rPr>
        <w:t xml:space="preserve"> J, Marshall MS, </w:t>
      </w:r>
      <w:proofErr w:type="spellStart"/>
      <w:r>
        <w:rPr>
          <w:sz w:val="20"/>
          <w:szCs w:val="20"/>
        </w:rPr>
        <w:t>Dumontier</w:t>
      </w:r>
      <w:proofErr w:type="spellEnd"/>
      <w:r>
        <w:rPr>
          <w:sz w:val="20"/>
          <w:szCs w:val="20"/>
        </w:rPr>
        <w:t xml:space="preserve"> M. (</w:t>
      </w:r>
      <w:proofErr w:type="spellStart"/>
      <w:r>
        <w:rPr>
          <w:sz w:val="20"/>
          <w:szCs w:val="20"/>
        </w:rPr>
        <w:t>eds</w:t>
      </w:r>
      <w:proofErr w:type="spellEnd"/>
      <w:r>
        <w:rPr>
          <w:sz w:val="20"/>
          <w:szCs w:val="20"/>
        </w:rPr>
        <w:t xml:space="preserve">). Dataset Descriptions: HCLS Community Profile. W3C Interest Group Note 14 May 2015. Available from: </w:t>
      </w:r>
      <w:hyperlink r:id="rId152" w:anchor="s6_3">
        <w:r>
          <w:rPr>
            <w:color w:val="1155CC"/>
            <w:sz w:val="20"/>
            <w:szCs w:val="20"/>
            <w:u w:val="single"/>
          </w:rPr>
          <w:t>https://www.w3.org/TR/2015/NOTE-hcls-dataset-20150514/#s6_3</w:t>
        </w:r>
      </w:hyperlink>
      <w:r>
        <w:rPr>
          <w:sz w:val="20"/>
          <w:szCs w:val="20"/>
        </w:rPr>
        <w:t>.</w:t>
      </w:r>
    </w:p>
    <w:p w14:paraId="2FD83386" w14:textId="77777777" w:rsidR="00317BE3" w:rsidRDefault="00A53922" w:rsidP="00EA2A5C">
      <w:pPr>
        <w:pStyle w:val="normal0"/>
        <w:numPr>
          <w:ilvl w:val="0"/>
          <w:numId w:val="4"/>
        </w:numPr>
        <w:spacing w:after="200"/>
        <w:ind w:left="714" w:hanging="357"/>
        <w:rPr>
          <w:sz w:val="20"/>
          <w:szCs w:val="20"/>
        </w:rPr>
      </w:pPr>
      <w:proofErr w:type="spellStart"/>
      <w:r>
        <w:rPr>
          <w:color w:val="1F1F1F"/>
          <w:sz w:val="20"/>
          <w:szCs w:val="20"/>
          <w:highlight w:val="white"/>
        </w:rPr>
        <w:t>Mietchen</w:t>
      </w:r>
      <w:proofErr w:type="spellEnd"/>
      <w:r>
        <w:rPr>
          <w:sz w:val="20"/>
          <w:szCs w:val="20"/>
        </w:rPr>
        <w:t xml:space="preserve"> D, </w:t>
      </w:r>
      <w:proofErr w:type="spellStart"/>
      <w:r>
        <w:rPr>
          <w:sz w:val="20"/>
          <w:szCs w:val="20"/>
        </w:rPr>
        <w:t>McEntyre</w:t>
      </w:r>
      <w:proofErr w:type="spellEnd"/>
      <w:r>
        <w:rPr>
          <w:sz w:val="20"/>
          <w:szCs w:val="20"/>
        </w:rPr>
        <w:t xml:space="preserve"> J, Beck J, et al. Force11 Data Citation Implementation Group Adapting JATS to support data citation. In: Journal Article Tag Suite Conference (JATS-Con) Proceedings. 2015. Available from:</w:t>
      </w:r>
      <w:hyperlink r:id="rId153">
        <w:r>
          <w:rPr>
            <w:color w:val="000080"/>
            <w:sz w:val="20"/>
            <w:szCs w:val="20"/>
            <w:u w:val="single"/>
          </w:rPr>
          <w:t xml:space="preserve"> </w:t>
        </w:r>
      </w:hyperlink>
      <w:hyperlink r:id="rId154">
        <w:r>
          <w:rPr>
            <w:color w:val="1155CC"/>
            <w:sz w:val="20"/>
            <w:szCs w:val="20"/>
            <w:u w:val="single"/>
          </w:rPr>
          <w:t>http://www.ncbi.nlm.nih.gov/books/NBK280240/?report=classic</w:t>
        </w:r>
      </w:hyperlink>
    </w:p>
    <w:p w14:paraId="143D5FCB" w14:textId="77777777" w:rsidR="00317BE3" w:rsidRDefault="00A53922" w:rsidP="00EA2A5C">
      <w:pPr>
        <w:pStyle w:val="normal0"/>
        <w:numPr>
          <w:ilvl w:val="0"/>
          <w:numId w:val="4"/>
        </w:numPr>
        <w:spacing w:after="200"/>
        <w:ind w:left="714" w:hanging="357"/>
        <w:rPr>
          <w:sz w:val="20"/>
          <w:szCs w:val="20"/>
        </w:rPr>
      </w:pPr>
      <w:r>
        <w:rPr>
          <w:color w:val="1F1F1F"/>
          <w:sz w:val="20"/>
          <w:szCs w:val="20"/>
          <w:highlight w:val="white"/>
        </w:rPr>
        <w:t xml:space="preserve">Van de </w:t>
      </w:r>
      <w:proofErr w:type="spellStart"/>
      <w:r>
        <w:rPr>
          <w:color w:val="1F1F1F"/>
          <w:sz w:val="20"/>
          <w:szCs w:val="20"/>
          <w:highlight w:val="white"/>
        </w:rPr>
        <w:t>Sompel</w:t>
      </w:r>
      <w:proofErr w:type="spellEnd"/>
      <w:r>
        <w:rPr>
          <w:color w:val="1F1F1F"/>
          <w:sz w:val="20"/>
          <w:szCs w:val="20"/>
          <w:highlight w:val="white"/>
        </w:rPr>
        <w:t xml:space="preserve">, H., Nelson, M., and R. Sanderson, "HTTP Framework for Time-Based Access to Resource States -- Memento", RFC 7089, 2013, </w:t>
      </w:r>
      <w:hyperlink r:id="rId155">
        <w:r>
          <w:rPr>
            <w:color w:val="1155CC"/>
            <w:sz w:val="20"/>
            <w:szCs w:val="20"/>
            <w:highlight w:val="white"/>
            <w:u w:val="single"/>
          </w:rPr>
          <w:t>DOI:10.17487/RFC7089</w:t>
        </w:r>
      </w:hyperlink>
      <w:r>
        <w:rPr>
          <w:color w:val="1F1F1F"/>
          <w:sz w:val="20"/>
          <w:szCs w:val="20"/>
          <w:highlight w:val="white"/>
        </w:rPr>
        <w:t xml:space="preserve">, </w:t>
      </w:r>
      <w:hyperlink r:id="rId156">
        <w:r>
          <w:rPr>
            <w:color w:val="1155CC"/>
            <w:sz w:val="20"/>
            <w:szCs w:val="20"/>
            <w:highlight w:val="white"/>
            <w:u w:val="single"/>
          </w:rPr>
          <w:t>http://www.rfc-editor.org/info/rfc7089</w:t>
        </w:r>
      </w:hyperlink>
      <w:r>
        <w:rPr>
          <w:color w:val="1F1F1F"/>
          <w:sz w:val="20"/>
          <w:szCs w:val="20"/>
          <w:highlight w:val="white"/>
        </w:rPr>
        <w:t>.</w:t>
      </w:r>
    </w:p>
    <w:p w14:paraId="1190A67F" w14:textId="77777777" w:rsidR="00317BE3" w:rsidRDefault="00A53922" w:rsidP="00EA2A5C">
      <w:pPr>
        <w:pStyle w:val="normal0"/>
        <w:numPr>
          <w:ilvl w:val="0"/>
          <w:numId w:val="4"/>
        </w:numPr>
        <w:spacing w:after="200"/>
        <w:ind w:left="714" w:hanging="357"/>
        <w:rPr>
          <w:sz w:val="20"/>
          <w:szCs w:val="20"/>
          <w:highlight w:val="white"/>
        </w:rPr>
      </w:pPr>
      <w:r>
        <w:rPr>
          <w:sz w:val="20"/>
          <w:szCs w:val="20"/>
          <w:highlight w:val="white"/>
        </w:rPr>
        <w:t xml:space="preserve">Rafael C Jimenez, Alejandra Gonzalez-Beltran, Martin Cook, Niall Beard, Pistoia Alliance, Roberto </w:t>
      </w:r>
      <w:proofErr w:type="spellStart"/>
      <w:r>
        <w:rPr>
          <w:sz w:val="20"/>
          <w:szCs w:val="20"/>
          <w:highlight w:val="white"/>
        </w:rPr>
        <w:t>Preste</w:t>
      </w:r>
      <w:proofErr w:type="spellEnd"/>
      <w:r>
        <w:rPr>
          <w:sz w:val="20"/>
          <w:szCs w:val="20"/>
          <w:highlight w:val="white"/>
        </w:rPr>
        <w:t xml:space="preserve">, (2016) </w:t>
      </w:r>
      <w:proofErr w:type="spellStart"/>
      <w:r>
        <w:rPr>
          <w:sz w:val="20"/>
          <w:szCs w:val="20"/>
          <w:highlight w:val="white"/>
        </w:rPr>
        <w:t>Bioschemas</w:t>
      </w:r>
      <w:proofErr w:type="spellEnd"/>
      <w:r>
        <w:rPr>
          <w:sz w:val="20"/>
          <w:szCs w:val="20"/>
          <w:highlight w:val="white"/>
        </w:rPr>
        <w:t>: promoting consistent adoption of schema.org markup within the life sciences. Available from:</w:t>
      </w:r>
      <w:r>
        <w:rPr>
          <w:color w:val="6AA84F"/>
          <w:sz w:val="20"/>
          <w:szCs w:val="20"/>
          <w:highlight w:val="white"/>
        </w:rPr>
        <w:t xml:space="preserve"> </w:t>
      </w:r>
      <w:hyperlink r:id="rId157">
        <w:r>
          <w:rPr>
            <w:color w:val="1155CC"/>
            <w:sz w:val="20"/>
            <w:szCs w:val="20"/>
            <w:highlight w:val="white"/>
            <w:u w:val="single"/>
          </w:rPr>
          <w:t>http://bioschemas.org</w:t>
        </w:r>
      </w:hyperlink>
      <w:r>
        <w:rPr>
          <w:color w:val="6AA84F"/>
          <w:sz w:val="20"/>
          <w:szCs w:val="20"/>
          <w:highlight w:val="white"/>
        </w:rPr>
        <w:t>.</w:t>
      </w:r>
    </w:p>
    <w:p w14:paraId="75500F01" w14:textId="77777777" w:rsidR="00317BE3" w:rsidRDefault="00A53922" w:rsidP="00EA2A5C">
      <w:pPr>
        <w:pStyle w:val="normal0"/>
        <w:numPr>
          <w:ilvl w:val="0"/>
          <w:numId w:val="4"/>
        </w:numPr>
        <w:spacing w:after="200"/>
        <w:ind w:left="714" w:hanging="357"/>
        <w:rPr>
          <w:sz w:val="20"/>
          <w:szCs w:val="20"/>
          <w:highlight w:val="white"/>
        </w:rPr>
      </w:pPr>
      <w:proofErr w:type="spellStart"/>
      <w:r>
        <w:rPr>
          <w:sz w:val="20"/>
          <w:szCs w:val="20"/>
          <w:highlight w:val="white"/>
        </w:rPr>
        <w:lastRenderedPageBreak/>
        <w:t>Guralnick</w:t>
      </w:r>
      <w:proofErr w:type="spellEnd"/>
      <w:r>
        <w:rPr>
          <w:sz w:val="20"/>
          <w:szCs w:val="20"/>
          <w:highlight w:val="white"/>
        </w:rPr>
        <w:t xml:space="preserve"> RP, </w:t>
      </w:r>
      <w:proofErr w:type="spellStart"/>
      <w:r>
        <w:rPr>
          <w:sz w:val="20"/>
          <w:szCs w:val="20"/>
          <w:highlight w:val="white"/>
        </w:rPr>
        <w:t>Cellinese</w:t>
      </w:r>
      <w:proofErr w:type="spellEnd"/>
      <w:r>
        <w:rPr>
          <w:sz w:val="20"/>
          <w:szCs w:val="20"/>
          <w:highlight w:val="white"/>
        </w:rPr>
        <w:t xml:space="preserve"> N, Deck J, Pyle RL, </w:t>
      </w:r>
      <w:proofErr w:type="spellStart"/>
      <w:r>
        <w:rPr>
          <w:sz w:val="20"/>
          <w:szCs w:val="20"/>
          <w:highlight w:val="white"/>
        </w:rPr>
        <w:t>Kunze</w:t>
      </w:r>
      <w:proofErr w:type="spellEnd"/>
      <w:r>
        <w:rPr>
          <w:sz w:val="20"/>
          <w:szCs w:val="20"/>
          <w:highlight w:val="white"/>
        </w:rPr>
        <w:t xml:space="preserve"> J, </w:t>
      </w:r>
      <w:proofErr w:type="spellStart"/>
      <w:r>
        <w:rPr>
          <w:sz w:val="20"/>
          <w:szCs w:val="20"/>
          <w:highlight w:val="white"/>
        </w:rPr>
        <w:t>Penev</w:t>
      </w:r>
      <w:proofErr w:type="spellEnd"/>
      <w:r>
        <w:rPr>
          <w:sz w:val="20"/>
          <w:szCs w:val="20"/>
          <w:highlight w:val="white"/>
        </w:rPr>
        <w:t xml:space="preserve"> L, Walls R, </w:t>
      </w:r>
      <w:proofErr w:type="spellStart"/>
      <w:r>
        <w:rPr>
          <w:sz w:val="20"/>
          <w:szCs w:val="20"/>
          <w:highlight w:val="white"/>
        </w:rPr>
        <w:t>Hagedorn</w:t>
      </w:r>
      <w:proofErr w:type="spellEnd"/>
      <w:r>
        <w:rPr>
          <w:sz w:val="20"/>
          <w:szCs w:val="20"/>
          <w:highlight w:val="white"/>
        </w:rPr>
        <w:t xml:space="preserve"> G, </w:t>
      </w:r>
      <w:proofErr w:type="spellStart"/>
      <w:r>
        <w:rPr>
          <w:sz w:val="20"/>
          <w:szCs w:val="20"/>
          <w:highlight w:val="white"/>
        </w:rPr>
        <w:t>Agosti</w:t>
      </w:r>
      <w:proofErr w:type="spellEnd"/>
      <w:r>
        <w:rPr>
          <w:sz w:val="20"/>
          <w:szCs w:val="20"/>
          <w:highlight w:val="white"/>
        </w:rPr>
        <w:t xml:space="preserve"> D, </w:t>
      </w:r>
      <w:proofErr w:type="spellStart"/>
      <w:r>
        <w:rPr>
          <w:sz w:val="20"/>
          <w:szCs w:val="20"/>
          <w:highlight w:val="white"/>
        </w:rPr>
        <w:t>Wieczorek</w:t>
      </w:r>
      <w:proofErr w:type="spellEnd"/>
      <w:r>
        <w:rPr>
          <w:sz w:val="20"/>
          <w:szCs w:val="20"/>
          <w:highlight w:val="white"/>
        </w:rPr>
        <w:t xml:space="preserve"> J, </w:t>
      </w:r>
      <w:proofErr w:type="spellStart"/>
      <w:r>
        <w:rPr>
          <w:sz w:val="20"/>
          <w:szCs w:val="20"/>
          <w:highlight w:val="white"/>
        </w:rPr>
        <w:t>Catapano</w:t>
      </w:r>
      <w:proofErr w:type="spellEnd"/>
      <w:r>
        <w:rPr>
          <w:sz w:val="20"/>
          <w:szCs w:val="20"/>
          <w:highlight w:val="white"/>
        </w:rPr>
        <w:t xml:space="preserve"> T, Page EDM. Community Next Steps for Making Globally Unique Identifiers Work for </w:t>
      </w:r>
      <w:proofErr w:type="spellStart"/>
      <w:r>
        <w:rPr>
          <w:sz w:val="20"/>
          <w:szCs w:val="20"/>
          <w:highlight w:val="white"/>
        </w:rPr>
        <w:t>Biocollections</w:t>
      </w:r>
      <w:proofErr w:type="spellEnd"/>
      <w:r>
        <w:rPr>
          <w:sz w:val="20"/>
          <w:szCs w:val="20"/>
          <w:highlight w:val="white"/>
        </w:rPr>
        <w:t xml:space="preserve"> Data. </w:t>
      </w:r>
      <w:proofErr w:type="spellStart"/>
      <w:r>
        <w:rPr>
          <w:sz w:val="20"/>
          <w:szCs w:val="20"/>
          <w:highlight w:val="white"/>
        </w:rPr>
        <w:t>ZooKeys</w:t>
      </w:r>
      <w:proofErr w:type="spellEnd"/>
      <w:r>
        <w:rPr>
          <w:sz w:val="20"/>
          <w:szCs w:val="20"/>
          <w:highlight w:val="white"/>
        </w:rPr>
        <w:t>. 2015</w:t>
      </w:r>
      <w:proofErr w:type="gramStart"/>
      <w:r>
        <w:rPr>
          <w:sz w:val="20"/>
          <w:szCs w:val="20"/>
          <w:highlight w:val="white"/>
        </w:rPr>
        <w:t>;</w:t>
      </w:r>
      <w:proofErr w:type="gramEnd"/>
      <w:r>
        <w:rPr>
          <w:sz w:val="20"/>
          <w:szCs w:val="20"/>
          <w:highlight w:val="white"/>
        </w:rPr>
        <w:t xml:space="preserve"> 494: 133-154.</w:t>
      </w:r>
      <w:hyperlink r:id="rId158">
        <w:r>
          <w:rPr>
            <w:sz w:val="20"/>
            <w:szCs w:val="20"/>
            <w:highlight w:val="white"/>
            <w:u w:val="single"/>
          </w:rPr>
          <w:t xml:space="preserve"> </w:t>
        </w:r>
      </w:hyperlink>
      <w:hyperlink r:id="rId159">
        <w:proofErr w:type="spellStart"/>
        <w:proofErr w:type="gramStart"/>
        <w:r>
          <w:rPr>
            <w:color w:val="1155CC"/>
            <w:sz w:val="20"/>
            <w:szCs w:val="20"/>
            <w:highlight w:val="white"/>
            <w:u w:val="single"/>
          </w:rPr>
          <w:t>doi</w:t>
        </w:r>
        <w:proofErr w:type="spellEnd"/>
        <w:proofErr w:type="gramEnd"/>
        <w:r>
          <w:rPr>
            <w:color w:val="1155CC"/>
            <w:sz w:val="20"/>
            <w:szCs w:val="20"/>
            <w:highlight w:val="white"/>
            <w:u w:val="single"/>
          </w:rPr>
          <w:t>: 10.3897/zookeys.494.9352</w:t>
        </w:r>
      </w:hyperlink>
    </w:p>
    <w:p w14:paraId="1B5C9466" w14:textId="77777777" w:rsidR="00317BE3" w:rsidRDefault="00A53922" w:rsidP="00EA2A5C">
      <w:pPr>
        <w:pStyle w:val="normal0"/>
        <w:numPr>
          <w:ilvl w:val="0"/>
          <w:numId w:val="4"/>
        </w:numPr>
        <w:spacing w:after="200"/>
        <w:ind w:hanging="360"/>
        <w:rPr>
          <w:sz w:val="20"/>
          <w:szCs w:val="20"/>
          <w:highlight w:val="white"/>
        </w:rPr>
      </w:pPr>
      <w:r>
        <w:rPr>
          <w:sz w:val="20"/>
          <w:szCs w:val="20"/>
        </w:rPr>
        <w:t xml:space="preserve">Berners-Lee T. Cool URIs </w:t>
      </w:r>
      <w:proofErr w:type="gramStart"/>
      <w:r>
        <w:rPr>
          <w:sz w:val="20"/>
          <w:szCs w:val="20"/>
        </w:rPr>
        <w:t>don't</w:t>
      </w:r>
      <w:proofErr w:type="gramEnd"/>
      <w:r>
        <w:rPr>
          <w:sz w:val="20"/>
          <w:szCs w:val="20"/>
        </w:rPr>
        <w:t xml:space="preserve"> change. 1998. Available from: </w:t>
      </w:r>
      <w:hyperlink r:id="rId160">
        <w:r>
          <w:rPr>
            <w:color w:val="1155CC"/>
            <w:sz w:val="20"/>
            <w:szCs w:val="20"/>
            <w:u w:val="single"/>
          </w:rPr>
          <w:t>http://www.w3.org/Provider/Style/URI.html</w:t>
        </w:r>
      </w:hyperlink>
      <w:r>
        <w:rPr>
          <w:sz w:val="20"/>
          <w:szCs w:val="20"/>
        </w:rPr>
        <w:t>.</w:t>
      </w:r>
    </w:p>
    <w:p w14:paraId="49B5CA6C" w14:textId="77777777" w:rsidR="00317BE3" w:rsidRDefault="00A53922" w:rsidP="00EA2A5C">
      <w:pPr>
        <w:pStyle w:val="normal0"/>
        <w:numPr>
          <w:ilvl w:val="0"/>
          <w:numId w:val="4"/>
        </w:numPr>
        <w:spacing w:after="200"/>
        <w:ind w:hanging="360"/>
        <w:rPr>
          <w:sz w:val="20"/>
          <w:szCs w:val="20"/>
          <w:highlight w:val="white"/>
        </w:rPr>
      </w:pPr>
      <w:r>
        <w:rPr>
          <w:sz w:val="20"/>
          <w:szCs w:val="20"/>
          <w:highlight w:val="white"/>
        </w:rPr>
        <w:t xml:space="preserve">Klein M, Van de </w:t>
      </w:r>
      <w:proofErr w:type="spellStart"/>
      <w:r>
        <w:rPr>
          <w:sz w:val="20"/>
          <w:szCs w:val="20"/>
          <w:highlight w:val="white"/>
        </w:rPr>
        <w:t>Sompel</w:t>
      </w:r>
      <w:proofErr w:type="spellEnd"/>
      <w:r>
        <w:rPr>
          <w:sz w:val="20"/>
          <w:szCs w:val="20"/>
          <w:highlight w:val="white"/>
        </w:rPr>
        <w:t xml:space="preserve"> H, Sanderson R, Shankar H, </w:t>
      </w:r>
      <w:proofErr w:type="spellStart"/>
      <w:r>
        <w:rPr>
          <w:sz w:val="20"/>
          <w:szCs w:val="20"/>
          <w:highlight w:val="white"/>
        </w:rPr>
        <w:t>Balakireva</w:t>
      </w:r>
      <w:proofErr w:type="spellEnd"/>
      <w:r>
        <w:rPr>
          <w:sz w:val="20"/>
          <w:szCs w:val="20"/>
          <w:highlight w:val="white"/>
        </w:rPr>
        <w:t xml:space="preserve"> L, Zhou K, et al. Scholarly context not found: one in five articles suffers from reference rot. </w:t>
      </w:r>
      <w:proofErr w:type="spellStart"/>
      <w:r>
        <w:rPr>
          <w:sz w:val="20"/>
          <w:szCs w:val="20"/>
          <w:highlight w:val="white"/>
        </w:rPr>
        <w:t>PLoS</w:t>
      </w:r>
      <w:proofErr w:type="spellEnd"/>
      <w:r>
        <w:rPr>
          <w:sz w:val="20"/>
          <w:szCs w:val="20"/>
          <w:highlight w:val="white"/>
        </w:rPr>
        <w:t xml:space="preserve"> One. 2014</w:t>
      </w:r>
      <w:proofErr w:type="gramStart"/>
      <w:r>
        <w:rPr>
          <w:sz w:val="20"/>
          <w:szCs w:val="20"/>
          <w:highlight w:val="white"/>
        </w:rPr>
        <w:t>;</w:t>
      </w:r>
      <w:proofErr w:type="gramEnd"/>
      <w:r>
        <w:rPr>
          <w:sz w:val="20"/>
          <w:szCs w:val="20"/>
          <w:highlight w:val="white"/>
        </w:rPr>
        <w:t xml:space="preserve"> 9: e115253. </w:t>
      </w:r>
      <w:proofErr w:type="spellStart"/>
      <w:proofErr w:type="gramStart"/>
      <w:r>
        <w:rPr>
          <w:sz w:val="20"/>
          <w:szCs w:val="20"/>
          <w:highlight w:val="white"/>
        </w:rPr>
        <w:t>doi</w:t>
      </w:r>
      <w:proofErr w:type="spellEnd"/>
      <w:proofErr w:type="gramEnd"/>
      <w:r>
        <w:rPr>
          <w:sz w:val="20"/>
          <w:szCs w:val="20"/>
          <w:highlight w:val="white"/>
        </w:rPr>
        <w:t>: 10.1371/journal.pone.0115253.</w:t>
      </w:r>
    </w:p>
    <w:p w14:paraId="5E236201" w14:textId="77777777" w:rsidR="00317BE3" w:rsidRDefault="00A53922" w:rsidP="00EA2A5C">
      <w:pPr>
        <w:pStyle w:val="normal0"/>
        <w:numPr>
          <w:ilvl w:val="0"/>
          <w:numId w:val="4"/>
        </w:numPr>
        <w:spacing w:after="200"/>
        <w:ind w:left="714" w:hanging="357"/>
        <w:rPr>
          <w:sz w:val="20"/>
          <w:szCs w:val="20"/>
        </w:rPr>
      </w:pPr>
      <w:proofErr w:type="spellStart"/>
      <w:r>
        <w:rPr>
          <w:sz w:val="20"/>
          <w:szCs w:val="20"/>
        </w:rPr>
        <w:t>Sporny</w:t>
      </w:r>
      <w:proofErr w:type="spellEnd"/>
      <w:r>
        <w:rPr>
          <w:sz w:val="20"/>
          <w:szCs w:val="20"/>
        </w:rPr>
        <w:t xml:space="preserve"> M. The Case for Curies. 2011. Available from: </w:t>
      </w:r>
      <w:hyperlink r:id="rId161">
        <w:r>
          <w:rPr>
            <w:color w:val="1155CC"/>
            <w:sz w:val="20"/>
            <w:szCs w:val="20"/>
            <w:u w:val="single"/>
          </w:rPr>
          <w:t>http://manu.sporny.org/2011/case-for-curies/</w:t>
        </w:r>
      </w:hyperlink>
      <w:r>
        <w:rPr>
          <w:sz w:val="20"/>
          <w:szCs w:val="20"/>
        </w:rPr>
        <w:t>.</w:t>
      </w:r>
    </w:p>
    <w:p w14:paraId="0E73B93A" w14:textId="77777777" w:rsidR="00317BE3" w:rsidRDefault="00A53922" w:rsidP="00EA2A5C">
      <w:pPr>
        <w:pStyle w:val="normal0"/>
        <w:numPr>
          <w:ilvl w:val="0"/>
          <w:numId w:val="4"/>
        </w:numPr>
        <w:spacing w:after="200"/>
        <w:ind w:left="714" w:hanging="357"/>
        <w:rPr>
          <w:sz w:val="20"/>
          <w:szCs w:val="20"/>
        </w:rPr>
      </w:pPr>
      <w:proofErr w:type="spellStart"/>
      <w:r>
        <w:rPr>
          <w:sz w:val="20"/>
          <w:szCs w:val="20"/>
          <w:highlight w:val="white"/>
        </w:rPr>
        <w:t>Birbeck</w:t>
      </w:r>
      <w:proofErr w:type="spellEnd"/>
      <w:r>
        <w:rPr>
          <w:sz w:val="20"/>
          <w:szCs w:val="20"/>
          <w:highlight w:val="white"/>
        </w:rPr>
        <w:t xml:space="preserve"> M, McCarron S (</w:t>
      </w:r>
      <w:proofErr w:type="spellStart"/>
      <w:r>
        <w:rPr>
          <w:sz w:val="20"/>
          <w:szCs w:val="20"/>
          <w:highlight w:val="white"/>
        </w:rPr>
        <w:t>eds</w:t>
      </w:r>
      <w:proofErr w:type="spellEnd"/>
      <w:r>
        <w:rPr>
          <w:sz w:val="20"/>
          <w:szCs w:val="20"/>
          <w:highlight w:val="white"/>
        </w:rPr>
        <w:t>).</w:t>
      </w:r>
      <w:r>
        <w:rPr>
          <w:sz w:val="20"/>
          <w:szCs w:val="20"/>
        </w:rPr>
        <w:t xml:space="preserve"> CURIE Syntax 1.0. W3C Working Group Note. 16 December 2010. Available from: </w:t>
      </w:r>
      <w:hyperlink r:id="rId162">
        <w:r>
          <w:rPr>
            <w:color w:val="1155CC"/>
            <w:sz w:val="20"/>
            <w:szCs w:val="20"/>
            <w:u w:val="single"/>
          </w:rPr>
          <w:t>http://www.w3.org/TR/2010/NOTE-curie-20101216</w:t>
        </w:r>
      </w:hyperlink>
      <w:r>
        <w:rPr>
          <w:sz w:val="20"/>
          <w:szCs w:val="20"/>
        </w:rPr>
        <w:t>.</w:t>
      </w:r>
    </w:p>
    <w:p w14:paraId="08959906" w14:textId="77777777" w:rsidR="00317BE3" w:rsidRDefault="00A53922" w:rsidP="00EA2A5C">
      <w:pPr>
        <w:pStyle w:val="normal0"/>
        <w:numPr>
          <w:ilvl w:val="0"/>
          <w:numId w:val="4"/>
        </w:numPr>
        <w:spacing w:after="200"/>
        <w:ind w:left="714" w:hanging="357"/>
        <w:rPr>
          <w:sz w:val="20"/>
          <w:szCs w:val="20"/>
        </w:rPr>
      </w:pPr>
      <w:proofErr w:type="spellStart"/>
      <w:r>
        <w:rPr>
          <w:sz w:val="20"/>
          <w:szCs w:val="20"/>
        </w:rPr>
        <w:t>Mungall</w:t>
      </w:r>
      <w:proofErr w:type="spellEnd"/>
      <w:r>
        <w:rPr>
          <w:sz w:val="20"/>
          <w:szCs w:val="20"/>
        </w:rPr>
        <w:t xml:space="preserve"> C, McMurry JA. 2015. </w:t>
      </w:r>
      <w:proofErr w:type="spellStart"/>
      <w:r>
        <w:rPr>
          <w:sz w:val="20"/>
          <w:szCs w:val="20"/>
        </w:rPr>
        <w:t>PrefixCommons</w:t>
      </w:r>
      <w:proofErr w:type="spellEnd"/>
      <w:r>
        <w:rPr>
          <w:sz w:val="20"/>
          <w:szCs w:val="20"/>
        </w:rPr>
        <w:t xml:space="preserve"> </w:t>
      </w:r>
      <w:proofErr w:type="spellStart"/>
      <w:r>
        <w:rPr>
          <w:sz w:val="20"/>
          <w:szCs w:val="20"/>
        </w:rPr>
        <w:t>BioContext</w:t>
      </w:r>
      <w:proofErr w:type="spellEnd"/>
      <w:r>
        <w:rPr>
          <w:sz w:val="20"/>
          <w:szCs w:val="20"/>
        </w:rPr>
        <w:t xml:space="preserve">: JSON-LD Contexts for Bioinformatics Data. Available from: </w:t>
      </w:r>
      <w:hyperlink r:id="rId163">
        <w:r>
          <w:rPr>
            <w:color w:val="1155CC"/>
            <w:sz w:val="20"/>
            <w:szCs w:val="20"/>
            <w:u w:val="single"/>
          </w:rPr>
          <w:t>https://github.com/prefixcommons/biocontext</w:t>
        </w:r>
      </w:hyperlink>
      <w:r>
        <w:rPr>
          <w:sz w:val="20"/>
          <w:szCs w:val="20"/>
        </w:rPr>
        <w:t xml:space="preserve">. </w:t>
      </w:r>
    </w:p>
    <w:p w14:paraId="6E1C426F" w14:textId="77777777" w:rsidR="00317BE3" w:rsidRDefault="00A53922" w:rsidP="00EA2A5C">
      <w:pPr>
        <w:pStyle w:val="normal0"/>
        <w:numPr>
          <w:ilvl w:val="0"/>
          <w:numId w:val="4"/>
        </w:numPr>
        <w:spacing w:after="200"/>
        <w:ind w:left="714" w:hanging="357"/>
        <w:rPr>
          <w:sz w:val="20"/>
          <w:szCs w:val="20"/>
        </w:rPr>
      </w:pPr>
      <w:r>
        <w:rPr>
          <w:sz w:val="20"/>
          <w:szCs w:val="20"/>
        </w:rPr>
        <w:t xml:space="preserve">Berners Lee, T. The Need for a Universal Syntax. 1993. Available from: </w:t>
      </w:r>
      <w:hyperlink r:id="rId164">
        <w:r>
          <w:rPr>
            <w:color w:val="1155CC"/>
            <w:sz w:val="20"/>
            <w:szCs w:val="20"/>
            <w:u w:val="single"/>
          </w:rPr>
          <w:t>http://www.w3.org/Addressing/URL/uri-spec.html</w:t>
        </w:r>
      </w:hyperlink>
      <w:r>
        <w:rPr>
          <w:sz w:val="20"/>
          <w:szCs w:val="20"/>
        </w:rPr>
        <w:t xml:space="preserve"> </w:t>
      </w:r>
    </w:p>
    <w:p w14:paraId="4D2D9290" w14:textId="77777777" w:rsidR="00317BE3" w:rsidRDefault="00A53922" w:rsidP="00EA2A5C">
      <w:pPr>
        <w:pStyle w:val="normal0"/>
        <w:numPr>
          <w:ilvl w:val="0"/>
          <w:numId w:val="4"/>
        </w:numPr>
        <w:spacing w:after="200"/>
        <w:ind w:left="714" w:hanging="357"/>
        <w:rPr>
          <w:sz w:val="20"/>
          <w:szCs w:val="20"/>
        </w:rPr>
      </w:pPr>
      <w:proofErr w:type="spellStart"/>
      <w:r>
        <w:rPr>
          <w:sz w:val="20"/>
          <w:szCs w:val="20"/>
        </w:rPr>
        <w:t>Zeeberg</w:t>
      </w:r>
      <w:proofErr w:type="spellEnd"/>
      <w:r>
        <w:rPr>
          <w:sz w:val="20"/>
          <w:szCs w:val="20"/>
        </w:rPr>
        <w:t xml:space="preserve"> BR, </w:t>
      </w:r>
      <w:proofErr w:type="spellStart"/>
      <w:r>
        <w:rPr>
          <w:sz w:val="20"/>
          <w:szCs w:val="20"/>
        </w:rPr>
        <w:t>Riss</w:t>
      </w:r>
      <w:proofErr w:type="spellEnd"/>
      <w:r>
        <w:rPr>
          <w:sz w:val="20"/>
          <w:szCs w:val="20"/>
        </w:rPr>
        <w:t xml:space="preserve"> J, Kane DW, </w:t>
      </w:r>
      <w:proofErr w:type="spellStart"/>
      <w:r>
        <w:rPr>
          <w:sz w:val="20"/>
          <w:szCs w:val="20"/>
        </w:rPr>
        <w:t>Bussey</w:t>
      </w:r>
      <w:proofErr w:type="spellEnd"/>
      <w:r>
        <w:rPr>
          <w:sz w:val="20"/>
          <w:szCs w:val="20"/>
        </w:rPr>
        <w:t xml:space="preserve"> KJ, </w:t>
      </w:r>
      <w:proofErr w:type="spellStart"/>
      <w:r>
        <w:rPr>
          <w:sz w:val="20"/>
          <w:szCs w:val="20"/>
        </w:rPr>
        <w:t>Uchio</w:t>
      </w:r>
      <w:proofErr w:type="spellEnd"/>
      <w:r>
        <w:rPr>
          <w:sz w:val="20"/>
          <w:szCs w:val="20"/>
        </w:rPr>
        <w:t xml:space="preserve"> E, </w:t>
      </w:r>
      <w:proofErr w:type="spellStart"/>
      <w:r>
        <w:rPr>
          <w:sz w:val="20"/>
          <w:szCs w:val="20"/>
        </w:rPr>
        <w:t>Linehan</w:t>
      </w:r>
      <w:proofErr w:type="spellEnd"/>
      <w:r>
        <w:rPr>
          <w:sz w:val="20"/>
          <w:szCs w:val="20"/>
        </w:rPr>
        <w:t xml:space="preserve"> WM, et al. Mistaken identifiers: gene name errors can be introduced inadvertently when using Excel in bioinformatics. BMC Bioinformatics. 2004</w:t>
      </w:r>
      <w:proofErr w:type="gramStart"/>
      <w:r>
        <w:rPr>
          <w:sz w:val="20"/>
          <w:szCs w:val="20"/>
        </w:rPr>
        <w:t>;</w:t>
      </w:r>
      <w:proofErr w:type="gramEnd"/>
      <w:r>
        <w:rPr>
          <w:sz w:val="20"/>
          <w:szCs w:val="20"/>
        </w:rPr>
        <w:t xml:space="preserve"> 23: 80. </w:t>
      </w:r>
      <w:hyperlink r:id="rId165">
        <w:proofErr w:type="gramStart"/>
        <w:r>
          <w:rPr>
            <w:color w:val="1155CC"/>
            <w:sz w:val="20"/>
            <w:szCs w:val="20"/>
            <w:u w:val="single"/>
          </w:rPr>
          <w:t>doi:10.1186</w:t>
        </w:r>
        <w:proofErr w:type="gramEnd"/>
        <w:r>
          <w:rPr>
            <w:color w:val="1155CC"/>
            <w:sz w:val="20"/>
            <w:szCs w:val="20"/>
            <w:u w:val="single"/>
          </w:rPr>
          <w:t>/1471-2105-5-80</w:t>
        </w:r>
      </w:hyperlink>
    </w:p>
    <w:p w14:paraId="685C6A10" w14:textId="77777777" w:rsidR="00317BE3" w:rsidRDefault="00A53922" w:rsidP="00EA2A5C">
      <w:pPr>
        <w:pStyle w:val="normal0"/>
        <w:numPr>
          <w:ilvl w:val="0"/>
          <w:numId w:val="4"/>
        </w:numPr>
        <w:spacing w:after="200"/>
        <w:ind w:left="714" w:hanging="357"/>
        <w:rPr>
          <w:sz w:val="20"/>
          <w:szCs w:val="20"/>
        </w:rPr>
      </w:pPr>
      <w:r>
        <w:rPr>
          <w:sz w:val="20"/>
          <w:szCs w:val="20"/>
        </w:rPr>
        <w:t xml:space="preserve">Mark </w:t>
      </w:r>
      <w:proofErr w:type="spellStart"/>
      <w:r>
        <w:rPr>
          <w:sz w:val="20"/>
          <w:szCs w:val="20"/>
        </w:rPr>
        <w:t>Ziemann</w:t>
      </w:r>
      <w:proofErr w:type="spellEnd"/>
      <w:r>
        <w:rPr>
          <w:sz w:val="20"/>
          <w:szCs w:val="20"/>
        </w:rPr>
        <w:t xml:space="preserve">, </w:t>
      </w:r>
      <w:proofErr w:type="spellStart"/>
      <w:r>
        <w:rPr>
          <w:sz w:val="20"/>
          <w:szCs w:val="20"/>
        </w:rPr>
        <w:t>Yotam</w:t>
      </w:r>
      <w:proofErr w:type="spellEnd"/>
      <w:r>
        <w:rPr>
          <w:sz w:val="20"/>
          <w:szCs w:val="20"/>
        </w:rPr>
        <w:t xml:space="preserve"> </w:t>
      </w:r>
      <w:proofErr w:type="spellStart"/>
      <w:r>
        <w:rPr>
          <w:sz w:val="20"/>
          <w:szCs w:val="20"/>
        </w:rPr>
        <w:t>Eren</w:t>
      </w:r>
      <w:proofErr w:type="spellEnd"/>
      <w:r>
        <w:rPr>
          <w:sz w:val="20"/>
          <w:szCs w:val="20"/>
        </w:rPr>
        <w:t xml:space="preserve"> and Assam El-</w:t>
      </w:r>
      <w:proofErr w:type="spellStart"/>
      <w:r>
        <w:rPr>
          <w:sz w:val="20"/>
          <w:szCs w:val="20"/>
        </w:rPr>
        <w:t>Osta</w:t>
      </w:r>
      <w:proofErr w:type="spellEnd"/>
      <w:r>
        <w:rPr>
          <w:sz w:val="20"/>
          <w:szCs w:val="20"/>
        </w:rPr>
        <w:t>. Gene name errors are widespread in the scientific literature. Genome Biology. 2016</w:t>
      </w:r>
      <w:proofErr w:type="gramStart"/>
      <w:r>
        <w:rPr>
          <w:sz w:val="20"/>
          <w:szCs w:val="20"/>
        </w:rPr>
        <w:t>;</w:t>
      </w:r>
      <w:proofErr w:type="gramEnd"/>
      <w:r>
        <w:rPr>
          <w:sz w:val="20"/>
          <w:szCs w:val="20"/>
        </w:rPr>
        <w:t xml:space="preserve"> 17:177. </w:t>
      </w:r>
      <w:hyperlink r:id="rId166">
        <w:r>
          <w:rPr>
            <w:color w:val="1155CC"/>
            <w:sz w:val="20"/>
            <w:szCs w:val="20"/>
            <w:u w:val="single"/>
          </w:rPr>
          <w:t>DOI: 10.1186/s13059-016-1044-7</w:t>
        </w:r>
      </w:hyperlink>
    </w:p>
    <w:p w14:paraId="3C5DDA27" w14:textId="77777777" w:rsidR="00317BE3" w:rsidRDefault="00A53922" w:rsidP="00EA2A5C">
      <w:pPr>
        <w:pStyle w:val="normal0"/>
        <w:numPr>
          <w:ilvl w:val="0"/>
          <w:numId w:val="4"/>
        </w:numPr>
        <w:spacing w:after="200"/>
        <w:ind w:left="714" w:hanging="357"/>
        <w:rPr>
          <w:sz w:val="20"/>
          <w:szCs w:val="20"/>
        </w:rPr>
      </w:pPr>
      <w:proofErr w:type="spellStart"/>
      <w:r>
        <w:rPr>
          <w:sz w:val="20"/>
          <w:szCs w:val="20"/>
        </w:rPr>
        <w:t>Kunze</w:t>
      </w:r>
      <w:proofErr w:type="spellEnd"/>
      <w:r>
        <w:rPr>
          <w:sz w:val="20"/>
          <w:szCs w:val="20"/>
        </w:rPr>
        <w:t xml:space="preserve"> J, Rodgers R. ARK Specification. 2016. Available from:</w:t>
      </w:r>
      <w:hyperlink r:id="rId167">
        <w:r>
          <w:rPr>
            <w:sz w:val="20"/>
            <w:szCs w:val="20"/>
            <w:u w:val="single"/>
          </w:rPr>
          <w:t xml:space="preserve"> </w:t>
        </w:r>
      </w:hyperlink>
      <w:hyperlink r:id="rId168">
        <w:r>
          <w:rPr>
            <w:color w:val="0000FF"/>
            <w:sz w:val="20"/>
            <w:szCs w:val="20"/>
            <w:u w:val="single"/>
          </w:rPr>
          <w:t>http://www.cdlib.org/services/uc3/arkspec.pdf</w:t>
        </w:r>
      </w:hyperlink>
      <w:r>
        <w:rPr>
          <w:sz w:val="20"/>
          <w:szCs w:val="20"/>
        </w:rPr>
        <w:t xml:space="preserve">, </w:t>
      </w:r>
      <w:hyperlink r:id="rId169">
        <w:r>
          <w:rPr>
            <w:color w:val="1155CC"/>
            <w:sz w:val="20"/>
            <w:szCs w:val="20"/>
            <w:u w:val="single"/>
          </w:rPr>
          <w:t>https://wiki.ucop.edu/display/Curation/ARK</w:t>
        </w:r>
      </w:hyperlink>
      <w:r>
        <w:rPr>
          <w:sz w:val="20"/>
          <w:szCs w:val="20"/>
        </w:rPr>
        <w:t xml:space="preserve"> </w:t>
      </w:r>
    </w:p>
    <w:p w14:paraId="7786EB0C" w14:textId="77777777" w:rsidR="00317BE3" w:rsidRDefault="00A53922" w:rsidP="00EA2A5C">
      <w:pPr>
        <w:pStyle w:val="normal0"/>
        <w:numPr>
          <w:ilvl w:val="0"/>
          <w:numId w:val="4"/>
        </w:numPr>
        <w:spacing w:after="200"/>
        <w:ind w:left="714" w:hanging="357"/>
        <w:rPr>
          <w:sz w:val="20"/>
          <w:szCs w:val="20"/>
        </w:rPr>
      </w:pPr>
      <w:proofErr w:type="spellStart"/>
      <w:r>
        <w:rPr>
          <w:sz w:val="20"/>
          <w:szCs w:val="20"/>
        </w:rPr>
        <w:t>Kratz</w:t>
      </w:r>
      <w:proofErr w:type="spellEnd"/>
      <w:r>
        <w:rPr>
          <w:sz w:val="20"/>
          <w:szCs w:val="20"/>
        </w:rPr>
        <w:t xml:space="preserve"> J, </w:t>
      </w:r>
      <w:proofErr w:type="spellStart"/>
      <w:r>
        <w:rPr>
          <w:sz w:val="20"/>
          <w:szCs w:val="20"/>
        </w:rPr>
        <w:t>Strasser</w:t>
      </w:r>
      <w:proofErr w:type="spellEnd"/>
      <w:r>
        <w:rPr>
          <w:sz w:val="20"/>
          <w:szCs w:val="20"/>
        </w:rPr>
        <w:t xml:space="preserve"> C. Data publication consensus and controversies [v3; ref status: indexed,</w:t>
      </w:r>
      <w:hyperlink r:id="rId170">
        <w:r>
          <w:rPr>
            <w:color w:val="000080"/>
            <w:sz w:val="20"/>
            <w:szCs w:val="20"/>
            <w:u w:val="single"/>
          </w:rPr>
          <w:t xml:space="preserve"> </w:t>
        </w:r>
      </w:hyperlink>
      <w:hyperlink r:id="rId171">
        <w:r>
          <w:rPr>
            <w:color w:val="1155CC"/>
            <w:sz w:val="20"/>
            <w:szCs w:val="20"/>
            <w:u w:val="single"/>
          </w:rPr>
          <w:t>http://f1000r.es/4ja</w:t>
        </w:r>
      </w:hyperlink>
      <w:r>
        <w:rPr>
          <w:sz w:val="20"/>
          <w:szCs w:val="20"/>
        </w:rPr>
        <w:t xml:space="preserve">] F1000Research. 2014; 3:94 </w:t>
      </w:r>
      <w:hyperlink r:id="rId172">
        <w:proofErr w:type="spellStart"/>
        <w:r>
          <w:rPr>
            <w:color w:val="1155CC"/>
            <w:sz w:val="20"/>
            <w:szCs w:val="20"/>
            <w:u w:val="single"/>
          </w:rPr>
          <w:t>doi</w:t>
        </w:r>
        <w:proofErr w:type="spellEnd"/>
        <w:r>
          <w:rPr>
            <w:color w:val="1155CC"/>
            <w:sz w:val="20"/>
            <w:szCs w:val="20"/>
            <w:u w:val="single"/>
          </w:rPr>
          <w:t xml:space="preserve">: 10.12688/f1000research.3979.3 </w:t>
        </w:r>
      </w:hyperlink>
    </w:p>
    <w:p w14:paraId="0DF4263F" w14:textId="77777777" w:rsidR="00317BE3" w:rsidRDefault="00A53922" w:rsidP="00EA2A5C">
      <w:pPr>
        <w:pStyle w:val="normal0"/>
        <w:numPr>
          <w:ilvl w:val="0"/>
          <w:numId w:val="4"/>
        </w:numPr>
        <w:spacing w:after="200"/>
        <w:ind w:left="714" w:hanging="357"/>
        <w:rPr>
          <w:sz w:val="20"/>
          <w:szCs w:val="20"/>
        </w:rPr>
      </w:pPr>
      <w:proofErr w:type="spellStart"/>
      <w:r>
        <w:rPr>
          <w:sz w:val="20"/>
          <w:szCs w:val="20"/>
        </w:rPr>
        <w:t>Vasilevsky</w:t>
      </w:r>
      <w:proofErr w:type="spellEnd"/>
      <w:r>
        <w:rPr>
          <w:sz w:val="20"/>
          <w:szCs w:val="20"/>
        </w:rPr>
        <w:t xml:space="preserve"> N, Johnson T, Corday K, </w:t>
      </w:r>
      <w:proofErr w:type="spellStart"/>
      <w:r>
        <w:rPr>
          <w:sz w:val="20"/>
          <w:szCs w:val="20"/>
        </w:rPr>
        <w:t>Torniai</w:t>
      </w:r>
      <w:proofErr w:type="spellEnd"/>
      <w:r>
        <w:rPr>
          <w:sz w:val="20"/>
          <w:szCs w:val="20"/>
        </w:rPr>
        <w:t xml:space="preserve"> C, Brush M, </w:t>
      </w:r>
      <w:proofErr w:type="spellStart"/>
      <w:r>
        <w:rPr>
          <w:sz w:val="20"/>
          <w:szCs w:val="20"/>
        </w:rPr>
        <w:t>Segerdell</w:t>
      </w:r>
      <w:proofErr w:type="spellEnd"/>
      <w:r>
        <w:rPr>
          <w:sz w:val="20"/>
          <w:szCs w:val="20"/>
        </w:rPr>
        <w:t xml:space="preserve"> E, Wilson M, Shaffer C, Robinson D, </w:t>
      </w:r>
      <w:proofErr w:type="spellStart"/>
      <w:r>
        <w:rPr>
          <w:sz w:val="20"/>
          <w:szCs w:val="20"/>
        </w:rPr>
        <w:t>Haendel</w:t>
      </w:r>
      <w:proofErr w:type="spellEnd"/>
      <w:r>
        <w:rPr>
          <w:sz w:val="20"/>
          <w:szCs w:val="20"/>
        </w:rPr>
        <w:t xml:space="preserve"> M. Research resources: curating the new eagle-</w:t>
      </w:r>
      <w:proofErr w:type="spellStart"/>
      <w:r>
        <w:rPr>
          <w:sz w:val="20"/>
          <w:szCs w:val="20"/>
        </w:rPr>
        <w:t>i</w:t>
      </w:r>
      <w:proofErr w:type="spellEnd"/>
      <w:r>
        <w:rPr>
          <w:sz w:val="20"/>
          <w:szCs w:val="20"/>
        </w:rPr>
        <w:t xml:space="preserve"> discovery system. Database (Oxford). 2012; bar067. </w:t>
      </w:r>
      <w:hyperlink r:id="rId173">
        <w:proofErr w:type="spellStart"/>
        <w:proofErr w:type="gramStart"/>
        <w:r>
          <w:rPr>
            <w:color w:val="1155CC"/>
            <w:sz w:val="20"/>
            <w:szCs w:val="20"/>
            <w:u w:val="single"/>
          </w:rPr>
          <w:t>doi</w:t>
        </w:r>
        <w:proofErr w:type="spellEnd"/>
        <w:proofErr w:type="gramEnd"/>
        <w:r>
          <w:rPr>
            <w:color w:val="1155CC"/>
            <w:sz w:val="20"/>
            <w:szCs w:val="20"/>
            <w:u w:val="single"/>
          </w:rPr>
          <w:t>: 10.1093/database/bar067</w:t>
        </w:r>
      </w:hyperlink>
    </w:p>
    <w:p w14:paraId="6A6BEE2A" w14:textId="77777777" w:rsidR="00317BE3" w:rsidRDefault="00A53922" w:rsidP="00EA2A5C">
      <w:pPr>
        <w:pStyle w:val="normal0"/>
        <w:numPr>
          <w:ilvl w:val="0"/>
          <w:numId w:val="4"/>
        </w:numPr>
        <w:spacing w:after="200"/>
        <w:ind w:left="714" w:hanging="357"/>
        <w:rPr>
          <w:sz w:val="20"/>
          <w:szCs w:val="20"/>
        </w:rPr>
      </w:pPr>
      <w:r>
        <w:rPr>
          <w:sz w:val="20"/>
          <w:szCs w:val="20"/>
        </w:rPr>
        <w:t xml:space="preserve">Complete Example of a Dataset Description. 2015. </w:t>
      </w:r>
      <w:hyperlink r:id="rId174" w:anchor="appendix_1">
        <w:r>
          <w:rPr>
            <w:color w:val="1155CC"/>
            <w:sz w:val="20"/>
            <w:szCs w:val="20"/>
            <w:u w:val="single"/>
          </w:rPr>
          <w:t>http://www.w3.org/TR/hcls-dataset/#appendix_1</w:t>
        </w:r>
      </w:hyperlink>
      <w:r>
        <w:rPr>
          <w:sz w:val="20"/>
          <w:szCs w:val="20"/>
        </w:rPr>
        <w:t xml:space="preserve">. Available from: </w:t>
      </w:r>
      <w:hyperlink r:id="rId175" w:anchor="appendix_1">
        <w:r>
          <w:rPr>
            <w:color w:val="1155CC"/>
            <w:sz w:val="20"/>
            <w:szCs w:val="20"/>
            <w:u w:val="single"/>
          </w:rPr>
          <w:t>http://www.w3.org/TR/hcls-dataset/#appendix_1</w:t>
        </w:r>
      </w:hyperlink>
      <w:r>
        <w:rPr>
          <w:sz w:val="20"/>
          <w:szCs w:val="20"/>
        </w:rPr>
        <w:t xml:space="preserve"> </w:t>
      </w:r>
    </w:p>
    <w:p w14:paraId="499CB2B3" w14:textId="77777777" w:rsidR="00317BE3" w:rsidRDefault="00A53922" w:rsidP="00EA2A5C">
      <w:pPr>
        <w:pStyle w:val="normal0"/>
        <w:numPr>
          <w:ilvl w:val="0"/>
          <w:numId w:val="4"/>
        </w:numPr>
        <w:spacing w:after="200"/>
        <w:ind w:left="714" w:hanging="357"/>
        <w:rPr>
          <w:sz w:val="20"/>
          <w:szCs w:val="20"/>
        </w:rPr>
      </w:pPr>
      <w:r>
        <w:rPr>
          <w:sz w:val="20"/>
          <w:szCs w:val="20"/>
        </w:rPr>
        <w:t xml:space="preserve">McMurry J, Washington N, </w:t>
      </w:r>
      <w:proofErr w:type="spellStart"/>
      <w:r>
        <w:rPr>
          <w:sz w:val="20"/>
          <w:szCs w:val="20"/>
        </w:rPr>
        <w:t>Shefcheck</w:t>
      </w:r>
      <w:proofErr w:type="spellEnd"/>
      <w:r>
        <w:rPr>
          <w:sz w:val="20"/>
          <w:szCs w:val="20"/>
        </w:rPr>
        <w:t xml:space="preserve"> K, </w:t>
      </w:r>
      <w:proofErr w:type="spellStart"/>
      <w:r>
        <w:rPr>
          <w:sz w:val="20"/>
          <w:szCs w:val="20"/>
        </w:rPr>
        <w:t>Conlin</w:t>
      </w:r>
      <w:proofErr w:type="spellEnd"/>
      <w:r>
        <w:rPr>
          <w:sz w:val="20"/>
          <w:szCs w:val="20"/>
        </w:rPr>
        <w:t xml:space="preserve"> T. 2015. DIPPER: The Monarch Data Ingest Pipeline Identifier Documentation. Available from: </w:t>
      </w:r>
      <w:hyperlink r:id="rId176" w:anchor="identifiers">
        <w:r>
          <w:rPr>
            <w:color w:val="1155CC"/>
            <w:sz w:val="20"/>
            <w:szCs w:val="20"/>
            <w:u w:val="single"/>
          </w:rPr>
          <w:t>https://github.com/monarch-initiative/dipper/blob/master/README.md#identifiers</w:t>
        </w:r>
      </w:hyperlink>
      <w:r>
        <w:rPr>
          <w:sz w:val="20"/>
          <w:szCs w:val="20"/>
        </w:rPr>
        <w:t xml:space="preserve"> </w:t>
      </w:r>
    </w:p>
    <w:p w14:paraId="1B805705" w14:textId="77777777" w:rsidR="00317BE3" w:rsidRDefault="00A53922" w:rsidP="00EA2A5C">
      <w:pPr>
        <w:pStyle w:val="normal0"/>
        <w:numPr>
          <w:ilvl w:val="0"/>
          <w:numId w:val="4"/>
        </w:numPr>
        <w:spacing w:after="200"/>
        <w:ind w:left="714" w:hanging="357"/>
        <w:rPr>
          <w:sz w:val="20"/>
          <w:szCs w:val="20"/>
        </w:rPr>
      </w:pPr>
      <w:r>
        <w:rPr>
          <w:sz w:val="20"/>
          <w:szCs w:val="20"/>
        </w:rPr>
        <w:t xml:space="preserve">Wikimedia Foundation. </w:t>
      </w:r>
      <w:proofErr w:type="spellStart"/>
      <w:r>
        <w:rPr>
          <w:sz w:val="20"/>
          <w:szCs w:val="20"/>
        </w:rPr>
        <w:t>WikiData</w:t>
      </w:r>
      <w:proofErr w:type="spellEnd"/>
      <w:r>
        <w:rPr>
          <w:sz w:val="20"/>
          <w:szCs w:val="20"/>
        </w:rPr>
        <w:t xml:space="preserve">: a free, collaborative, multilingual, secondary database, collecting structured data to provide support for Wikipedia, Wikimedia Commons, the other Wikimedia projects, and well beyond that. 2015. Available from: </w:t>
      </w:r>
      <w:hyperlink r:id="rId177">
        <w:r>
          <w:rPr>
            <w:color w:val="1155CC"/>
            <w:sz w:val="20"/>
            <w:szCs w:val="20"/>
            <w:u w:val="single"/>
          </w:rPr>
          <w:t>https://www.wikidata.org/</w:t>
        </w:r>
      </w:hyperlink>
    </w:p>
    <w:sectPr w:rsidR="00317BE3" w:rsidSect="006036A7">
      <w:headerReference w:type="default" r:id="rId178"/>
      <w:pgSz w:w="12240" w:h="15840"/>
      <w:pgMar w:top="720" w:right="720" w:bottom="720" w:left="720" w:header="11"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231E13" w14:textId="77777777" w:rsidR="00A53922" w:rsidRDefault="00A53922">
      <w:r>
        <w:separator/>
      </w:r>
    </w:p>
  </w:endnote>
  <w:endnote w:type="continuationSeparator" w:id="0">
    <w:p w14:paraId="287DF6B0" w14:textId="77777777" w:rsidR="00A53922" w:rsidRDefault="00A53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652976" w14:textId="77777777" w:rsidR="00A53922" w:rsidRDefault="00A53922">
      <w:r>
        <w:separator/>
      </w:r>
    </w:p>
  </w:footnote>
  <w:footnote w:type="continuationSeparator" w:id="0">
    <w:p w14:paraId="671E2806" w14:textId="77777777" w:rsidR="00A53922" w:rsidRDefault="00A5392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1B5CD" w14:textId="3EDB8074" w:rsidR="00A53922" w:rsidRDefault="00A53922">
    <w:pPr>
      <w:pStyle w:val="normal0"/>
      <w:spacing w:before="720"/>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0383C"/>
    <w:multiLevelType w:val="multilevel"/>
    <w:tmpl w:val="3A0ADCF8"/>
    <w:lvl w:ilvl="0">
      <w:start w:val="1"/>
      <w:numFmt w:val="decimal"/>
      <w:lvlText w:val="%1."/>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
    <w:nsid w:val="281C67D1"/>
    <w:multiLevelType w:val="multilevel"/>
    <w:tmpl w:val="2316622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4F8620D2"/>
    <w:multiLevelType w:val="multilevel"/>
    <w:tmpl w:val="AAE6C68A"/>
    <w:lvl w:ilvl="0">
      <w:start w:val="1"/>
      <w:numFmt w:val="bullet"/>
      <w:lvlText w:val="●"/>
      <w:lvlJc w:val="left"/>
      <w:pPr>
        <w:ind w:left="1080" w:firstLine="720"/>
      </w:pPr>
      <w:rPr>
        <w:rFonts w:ascii="Arial" w:eastAsia="Arial" w:hAnsi="Arial" w:cs="Arial"/>
      </w:rPr>
    </w:lvl>
    <w:lvl w:ilvl="1">
      <w:start w:val="1"/>
      <w:numFmt w:val="bullet"/>
      <w:lvlText w:val="○"/>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3">
    <w:nsid w:val="56DD31B4"/>
    <w:multiLevelType w:val="multilevel"/>
    <w:tmpl w:val="E98C5626"/>
    <w:lvl w:ilvl="0">
      <w:start w:val="1"/>
      <w:numFmt w:val="decimal"/>
      <w:lvlText w:val="%1."/>
      <w:lvlJc w:val="left"/>
      <w:pPr>
        <w:ind w:left="720" w:firstLine="1080"/>
      </w:pPr>
      <w:rPr>
        <w:b/>
        <w:color w:val="000000"/>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17BE3"/>
    <w:rsid w:val="00317BE3"/>
    <w:rsid w:val="006036A7"/>
    <w:rsid w:val="00954BC9"/>
    <w:rsid w:val="00A53922"/>
    <w:rsid w:val="00EA2A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2AC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widowControl w:val="0"/>
      <w:spacing w:before="200"/>
      <w:outlineLvl w:val="0"/>
    </w:pPr>
    <w:rPr>
      <w:b/>
      <w:sz w:val="36"/>
      <w:szCs w:val="36"/>
    </w:rPr>
  </w:style>
  <w:style w:type="paragraph" w:styleId="Heading2">
    <w:name w:val="heading 2"/>
    <w:basedOn w:val="normal0"/>
    <w:next w:val="normal0"/>
    <w:pPr>
      <w:keepNext/>
      <w:keepLines/>
      <w:widowControl w:val="0"/>
      <w:spacing w:before="200"/>
      <w:outlineLvl w:val="1"/>
    </w:pPr>
    <w:rPr>
      <w:b/>
      <w:sz w:val="36"/>
      <w:szCs w:val="36"/>
    </w:rPr>
  </w:style>
  <w:style w:type="paragraph" w:styleId="Heading3">
    <w:name w:val="heading 3"/>
    <w:basedOn w:val="normal0"/>
    <w:next w:val="normal0"/>
    <w:pPr>
      <w:keepNext/>
      <w:keepLines/>
      <w:widowControl w:val="0"/>
      <w:outlineLvl w:val="2"/>
    </w:pPr>
    <w:rPr>
      <w:b/>
      <w:sz w:val="28"/>
      <w:szCs w:val="28"/>
    </w:rPr>
  </w:style>
  <w:style w:type="paragraph" w:styleId="Heading4">
    <w:name w:val="heading 4"/>
    <w:basedOn w:val="normal0"/>
    <w:next w:val="normal0"/>
    <w:pPr>
      <w:keepNext/>
      <w:keepLines/>
      <w:widowControl w:val="0"/>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widowControl w:val="0"/>
      <w:spacing w:before="160"/>
      <w:outlineLvl w:val="4"/>
    </w:pPr>
    <w:rPr>
      <w:rFonts w:ascii="Trebuchet MS" w:eastAsia="Trebuchet MS" w:hAnsi="Trebuchet MS" w:cs="Trebuchet MS"/>
      <w:color w:val="666666"/>
    </w:rPr>
  </w:style>
  <w:style w:type="paragraph" w:styleId="Heading6">
    <w:name w:val="heading 6"/>
    <w:basedOn w:val="normal0"/>
    <w:next w:val="normal0"/>
    <w:pPr>
      <w:keepNext/>
      <w:keepLines/>
      <w:widowControl w:val="0"/>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pPr>
    <w:rPr>
      <w:rFonts w:ascii="Trebuchet MS" w:eastAsia="Trebuchet MS" w:hAnsi="Trebuchet MS" w:cs="Trebuchet MS"/>
      <w:sz w:val="42"/>
      <w:szCs w:val="42"/>
    </w:rPr>
  </w:style>
  <w:style w:type="paragraph" w:styleId="Subtitle">
    <w:name w:val="Subtitle"/>
    <w:basedOn w:val="normal0"/>
    <w:next w:val="normal0"/>
    <w:pPr>
      <w:keepNext/>
      <w:keepLines/>
      <w:spacing w:after="200"/>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100" w:type="dxa"/>
        <w:left w:w="90" w:type="dxa"/>
        <w:bottom w:w="100" w:type="dxa"/>
        <w:right w:w="100" w:type="dxa"/>
      </w:tblCellMar>
    </w:tblPr>
  </w:style>
  <w:style w:type="table" w:customStyle="1" w:styleId="a1">
    <w:basedOn w:val="TableNormal"/>
    <w:tblPr>
      <w:tblStyleRowBandSize w:val="1"/>
      <w:tblStyleColBandSize w:val="1"/>
      <w:tblInd w:w="0" w:type="dxa"/>
      <w:tblCellMar>
        <w:top w:w="20" w:type="dxa"/>
        <w:bottom w:w="20" w:type="dxa"/>
        <w:right w:w="20" w:type="dxa"/>
      </w:tblCellMar>
    </w:tblPr>
  </w:style>
  <w:style w:type="table" w:customStyle="1" w:styleId="a2">
    <w:basedOn w:val="TableNormal"/>
    <w:tblPr>
      <w:tblStyleRowBandSize w:val="1"/>
      <w:tblStyleColBandSize w:val="1"/>
      <w:tblInd w:w="0" w:type="dxa"/>
      <w:tblCellMar>
        <w:top w:w="11" w:type="dxa"/>
        <w:left w:w="21" w:type="dxa"/>
        <w:bottom w:w="11" w:type="dxa"/>
        <w:right w:w="31" w:type="dxa"/>
      </w:tblCellMar>
    </w:tblPr>
  </w:style>
  <w:style w:type="table" w:customStyle="1" w:styleId="a3">
    <w:basedOn w:val="TableNormal"/>
    <w:tblPr>
      <w:tblStyleRowBandSize w:val="1"/>
      <w:tblStyleColBandSize w:val="1"/>
      <w:tblInd w:w="0" w:type="dxa"/>
      <w:tblCellMar>
        <w:top w:w="31" w:type="dxa"/>
        <w:left w:w="21" w:type="dxa"/>
        <w:bottom w:w="31" w:type="dxa"/>
        <w:right w:w="31" w:type="dxa"/>
      </w:tblCellMar>
    </w:tblPr>
  </w:style>
  <w:style w:type="paragraph" w:styleId="BalloonText">
    <w:name w:val="Balloon Text"/>
    <w:basedOn w:val="Normal"/>
    <w:link w:val="BalloonTextChar"/>
    <w:uiPriority w:val="99"/>
    <w:semiHidden/>
    <w:unhideWhenUsed/>
    <w:rsid w:val="00EA2A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2A5C"/>
    <w:rPr>
      <w:rFonts w:ascii="Lucida Grande" w:hAnsi="Lucida Grande" w:cs="Lucida Grande"/>
      <w:sz w:val="18"/>
      <w:szCs w:val="18"/>
    </w:rPr>
  </w:style>
  <w:style w:type="paragraph" w:styleId="Header">
    <w:name w:val="header"/>
    <w:basedOn w:val="Normal"/>
    <w:link w:val="HeaderChar"/>
    <w:uiPriority w:val="99"/>
    <w:unhideWhenUsed/>
    <w:rsid w:val="00EA2A5C"/>
    <w:pPr>
      <w:tabs>
        <w:tab w:val="center" w:pos="4320"/>
        <w:tab w:val="right" w:pos="8640"/>
      </w:tabs>
    </w:pPr>
  </w:style>
  <w:style w:type="character" w:customStyle="1" w:styleId="HeaderChar">
    <w:name w:val="Header Char"/>
    <w:basedOn w:val="DefaultParagraphFont"/>
    <w:link w:val="Header"/>
    <w:uiPriority w:val="99"/>
    <w:rsid w:val="00EA2A5C"/>
  </w:style>
  <w:style w:type="paragraph" w:styleId="Footer">
    <w:name w:val="footer"/>
    <w:basedOn w:val="Normal"/>
    <w:link w:val="FooterChar"/>
    <w:uiPriority w:val="99"/>
    <w:unhideWhenUsed/>
    <w:rsid w:val="00EA2A5C"/>
    <w:pPr>
      <w:tabs>
        <w:tab w:val="center" w:pos="4320"/>
        <w:tab w:val="right" w:pos="8640"/>
      </w:tabs>
    </w:pPr>
  </w:style>
  <w:style w:type="character" w:customStyle="1" w:styleId="FooterChar">
    <w:name w:val="Footer Char"/>
    <w:basedOn w:val="DefaultParagraphFont"/>
    <w:link w:val="Footer"/>
    <w:uiPriority w:val="99"/>
    <w:rsid w:val="00EA2A5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widowControl w:val="0"/>
      <w:spacing w:before="200"/>
      <w:outlineLvl w:val="0"/>
    </w:pPr>
    <w:rPr>
      <w:b/>
      <w:sz w:val="36"/>
      <w:szCs w:val="36"/>
    </w:rPr>
  </w:style>
  <w:style w:type="paragraph" w:styleId="Heading2">
    <w:name w:val="heading 2"/>
    <w:basedOn w:val="normal0"/>
    <w:next w:val="normal0"/>
    <w:pPr>
      <w:keepNext/>
      <w:keepLines/>
      <w:widowControl w:val="0"/>
      <w:spacing w:before="200"/>
      <w:outlineLvl w:val="1"/>
    </w:pPr>
    <w:rPr>
      <w:b/>
      <w:sz w:val="36"/>
      <w:szCs w:val="36"/>
    </w:rPr>
  </w:style>
  <w:style w:type="paragraph" w:styleId="Heading3">
    <w:name w:val="heading 3"/>
    <w:basedOn w:val="normal0"/>
    <w:next w:val="normal0"/>
    <w:pPr>
      <w:keepNext/>
      <w:keepLines/>
      <w:widowControl w:val="0"/>
      <w:outlineLvl w:val="2"/>
    </w:pPr>
    <w:rPr>
      <w:b/>
      <w:sz w:val="28"/>
      <w:szCs w:val="28"/>
    </w:rPr>
  </w:style>
  <w:style w:type="paragraph" w:styleId="Heading4">
    <w:name w:val="heading 4"/>
    <w:basedOn w:val="normal0"/>
    <w:next w:val="normal0"/>
    <w:pPr>
      <w:keepNext/>
      <w:keepLines/>
      <w:widowControl w:val="0"/>
      <w:spacing w:before="160"/>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widowControl w:val="0"/>
      <w:spacing w:before="160"/>
      <w:outlineLvl w:val="4"/>
    </w:pPr>
    <w:rPr>
      <w:rFonts w:ascii="Trebuchet MS" w:eastAsia="Trebuchet MS" w:hAnsi="Trebuchet MS" w:cs="Trebuchet MS"/>
      <w:color w:val="666666"/>
    </w:rPr>
  </w:style>
  <w:style w:type="paragraph" w:styleId="Heading6">
    <w:name w:val="heading 6"/>
    <w:basedOn w:val="normal0"/>
    <w:next w:val="normal0"/>
    <w:pPr>
      <w:keepNext/>
      <w:keepLines/>
      <w:widowControl w:val="0"/>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pPr>
    <w:rPr>
      <w:rFonts w:ascii="Trebuchet MS" w:eastAsia="Trebuchet MS" w:hAnsi="Trebuchet MS" w:cs="Trebuchet MS"/>
      <w:sz w:val="42"/>
      <w:szCs w:val="42"/>
    </w:rPr>
  </w:style>
  <w:style w:type="paragraph" w:styleId="Subtitle">
    <w:name w:val="Subtitle"/>
    <w:basedOn w:val="normal0"/>
    <w:next w:val="normal0"/>
    <w:pPr>
      <w:keepNext/>
      <w:keepLines/>
      <w:spacing w:after="200"/>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100" w:type="dxa"/>
        <w:left w:w="90" w:type="dxa"/>
        <w:bottom w:w="100" w:type="dxa"/>
        <w:right w:w="100" w:type="dxa"/>
      </w:tblCellMar>
    </w:tblPr>
  </w:style>
  <w:style w:type="table" w:customStyle="1" w:styleId="a1">
    <w:basedOn w:val="TableNormal"/>
    <w:tblPr>
      <w:tblStyleRowBandSize w:val="1"/>
      <w:tblStyleColBandSize w:val="1"/>
      <w:tblInd w:w="0" w:type="dxa"/>
      <w:tblCellMar>
        <w:top w:w="20" w:type="dxa"/>
        <w:bottom w:w="20" w:type="dxa"/>
        <w:right w:w="20" w:type="dxa"/>
      </w:tblCellMar>
    </w:tblPr>
  </w:style>
  <w:style w:type="table" w:customStyle="1" w:styleId="a2">
    <w:basedOn w:val="TableNormal"/>
    <w:tblPr>
      <w:tblStyleRowBandSize w:val="1"/>
      <w:tblStyleColBandSize w:val="1"/>
      <w:tblInd w:w="0" w:type="dxa"/>
      <w:tblCellMar>
        <w:top w:w="11" w:type="dxa"/>
        <w:left w:w="21" w:type="dxa"/>
        <w:bottom w:w="11" w:type="dxa"/>
        <w:right w:w="31" w:type="dxa"/>
      </w:tblCellMar>
    </w:tblPr>
  </w:style>
  <w:style w:type="table" w:customStyle="1" w:styleId="a3">
    <w:basedOn w:val="TableNormal"/>
    <w:tblPr>
      <w:tblStyleRowBandSize w:val="1"/>
      <w:tblStyleColBandSize w:val="1"/>
      <w:tblInd w:w="0" w:type="dxa"/>
      <w:tblCellMar>
        <w:top w:w="31" w:type="dxa"/>
        <w:left w:w="21" w:type="dxa"/>
        <w:bottom w:w="31" w:type="dxa"/>
        <w:right w:w="31" w:type="dxa"/>
      </w:tblCellMar>
    </w:tblPr>
  </w:style>
  <w:style w:type="paragraph" w:styleId="BalloonText">
    <w:name w:val="Balloon Text"/>
    <w:basedOn w:val="Normal"/>
    <w:link w:val="BalloonTextChar"/>
    <w:uiPriority w:val="99"/>
    <w:semiHidden/>
    <w:unhideWhenUsed/>
    <w:rsid w:val="00EA2A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2A5C"/>
    <w:rPr>
      <w:rFonts w:ascii="Lucida Grande" w:hAnsi="Lucida Grande" w:cs="Lucida Grande"/>
      <w:sz w:val="18"/>
      <w:szCs w:val="18"/>
    </w:rPr>
  </w:style>
  <w:style w:type="paragraph" w:styleId="Header">
    <w:name w:val="header"/>
    <w:basedOn w:val="Normal"/>
    <w:link w:val="HeaderChar"/>
    <w:uiPriority w:val="99"/>
    <w:unhideWhenUsed/>
    <w:rsid w:val="00EA2A5C"/>
    <w:pPr>
      <w:tabs>
        <w:tab w:val="center" w:pos="4320"/>
        <w:tab w:val="right" w:pos="8640"/>
      </w:tabs>
    </w:pPr>
  </w:style>
  <w:style w:type="character" w:customStyle="1" w:styleId="HeaderChar">
    <w:name w:val="Header Char"/>
    <w:basedOn w:val="DefaultParagraphFont"/>
    <w:link w:val="Header"/>
    <w:uiPriority w:val="99"/>
    <w:rsid w:val="00EA2A5C"/>
  </w:style>
  <w:style w:type="paragraph" w:styleId="Footer">
    <w:name w:val="footer"/>
    <w:basedOn w:val="Normal"/>
    <w:link w:val="FooterChar"/>
    <w:uiPriority w:val="99"/>
    <w:unhideWhenUsed/>
    <w:rsid w:val="00EA2A5C"/>
    <w:pPr>
      <w:tabs>
        <w:tab w:val="center" w:pos="4320"/>
        <w:tab w:val="right" w:pos="8640"/>
      </w:tabs>
    </w:pPr>
  </w:style>
  <w:style w:type="character" w:customStyle="1" w:styleId="FooterChar">
    <w:name w:val="Footer Char"/>
    <w:basedOn w:val="DefaultParagraphFont"/>
    <w:link w:val="Footer"/>
    <w:uiPriority w:val="99"/>
    <w:rsid w:val="00EA2A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iassistdata.org/downloads/iqvol371_4_altman.pdf" TargetMode="External"/><Relationship Id="rId143" Type="http://schemas.openxmlformats.org/officeDocument/2006/relationships/hyperlink" Target="http://dx.doi.org/10.12688/f1000research.6555.2" TargetMode="External"/><Relationship Id="rId144" Type="http://schemas.openxmlformats.org/officeDocument/2006/relationships/hyperlink" Target="https://www.force11.org/group/fairgroup/fairprinciples" TargetMode="External"/><Relationship Id="rId145" Type="http://schemas.openxmlformats.org/officeDocument/2006/relationships/hyperlink" Target="https://www.force11.org/group/fairgroup/fairprinciples" TargetMode="External"/><Relationship Id="rId146" Type="http://schemas.openxmlformats.org/officeDocument/2006/relationships/hyperlink" Target="http://dx.doi.org/10.7717/peerj-cs.1" TargetMode="External"/><Relationship Id="rId147" Type="http://schemas.openxmlformats.org/officeDocument/2006/relationships/hyperlink" Target="https://dx.doi.org/10.7287/peerj.preprints.697v4" TargetMode="External"/><Relationship Id="rId148" Type="http://schemas.openxmlformats.org/officeDocument/2006/relationships/hyperlink" Target="http://www.ietf.org/rfc/rfc2119.txt" TargetMode="External"/><Relationship Id="rId149" Type="http://schemas.openxmlformats.org/officeDocument/2006/relationships/hyperlink" Target="http://www.ietf.org/rfc/rfc2119.txt" TargetMode="External"/><Relationship Id="rId180" Type="http://schemas.openxmlformats.org/officeDocument/2006/relationships/theme" Target="theme/theme1.xml"/><Relationship Id="rId40" Type="http://schemas.openxmlformats.org/officeDocument/2006/relationships/hyperlink" Target="http://www.w3.org/Provider/Style/URI" TargetMode="External"/><Relationship Id="rId41" Type="http://schemas.openxmlformats.org/officeDocument/2006/relationships/hyperlink" Target="http://www.biomedcentral.com/1471-2105/5/80" TargetMode="External"/><Relationship Id="rId42" Type="http://schemas.openxmlformats.org/officeDocument/2006/relationships/hyperlink" Target="http://genomebiology.biomedcentral.com/articles/10.1186/s13059-016-1044-7" TargetMode="External"/><Relationship Id="rId43" Type="http://schemas.openxmlformats.org/officeDocument/2006/relationships/hyperlink" Target="http://www.informatics.jax.org/allele/MGI:1856232" TargetMode="External"/><Relationship Id="rId44" Type="http://schemas.openxmlformats.org/officeDocument/2006/relationships/hyperlink" Target="http://www.informatics.jax.org/allele/MGI:1856232" TargetMode="External"/><Relationship Id="rId45" Type="http://schemas.openxmlformats.org/officeDocument/2006/relationships/hyperlink" Target="http://www.informatics.jax.org/allele/MGI:1856266" TargetMode="External"/><Relationship Id="rId46" Type="http://schemas.openxmlformats.org/officeDocument/2006/relationships/hyperlink" Target="http://www.informatics.jax.org/allele/MGI:1856266" TargetMode="External"/><Relationship Id="rId47" Type="http://schemas.openxmlformats.org/officeDocument/2006/relationships/hyperlink" Target="http://lincs.hms.harvard.edu/db/cells/$id/" TargetMode="External"/><Relationship Id="rId48" Type="http://schemas.openxmlformats.org/officeDocument/2006/relationships/hyperlink" Target="http://lincs.hms.harvard.edu/db/proteins/$id/" TargetMode="External"/><Relationship Id="rId49" Type="http://schemas.openxmlformats.org/officeDocument/2006/relationships/hyperlink" Target="http://www.informatics.jax.org/accession/MGI:2442292" TargetMode="External"/><Relationship Id="rId80" Type="http://schemas.openxmlformats.org/officeDocument/2006/relationships/hyperlink" Target="http://www.uniprot.org/uniprot/P12345" TargetMode="External"/><Relationship Id="rId81" Type="http://schemas.openxmlformats.org/officeDocument/2006/relationships/hyperlink" Target="http://www.uniprot.org/uniprot/P12345" TargetMode="External"/><Relationship Id="rId82" Type="http://schemas.openxmlformats.org/officeDocument/2006/relationships/hyperlink" Target="http://www.uniprot.org/uniprot/P12345.1" TargetMode="External"/><Relationship Id="rId83" Type="http://schemas.openxmlformats.org/officeDocument/2006/relationships/hyperlink" Target="http://www.uniprot.org/uniprot/P12345.1" TargetMode="External"/><Relationship Id="rId84" Type="http://schemas.openxmlformats.org/officeDocument/2006/relationships/hyperlink" Target="http://www.uniprot.org/uniprot/P12345" TargetMode="External"/><Relationship Id="rId85" Type="http://schemas.openxmlformats.org/officeDocument/2006/relationships/hyperlink" Target="http://www.uniprot.org/uniprot/P12345" TargetMode="External"/><Relationship Id="rId86" Type="http://schemas.openxmlformats.org/officeDocument/2006/relationships/hyperlink" Target="http://www.uniprot.org/uniprot/P12345.1" TargetMode="External"/><Relationship Id="rId87" Type="http://schemas.openxmlformats.org/officeDocument/2006/relationships/hyperlink" Target="http://www.uniprot.org/uniprot/P12345.1" TargetMode="External"/><Relationship Id="rId88" Type="http://schemas.openxmlformats.org/officeDocument/2006/relationships/hyperlink" Target="http://www.uniprot.org/uniprot/P12345.1" TargetMode="External"/><Relationship Id="rId89" Type="http://schemas.openxmlformats.org/officeDocument/2006/relationships/hyperlink" Target="http://www.uniprot.org/uniprot/P12345.302" TargetMode="External"/><Relationship Id="rId110" Type="http://schemas.openxmlformats.org/officeDocument/2006/relationships/hyperlink" Target="http://cordis.europa.eu/project/rcn/101852_en.html" TargetMode="External"/><Relationship Id="rId111" Type="http://schemas.openxmlformats.org/officeDocument/2006/relationships/hyperlink" Target="https://www.ebi.ac.uk/about/funding" TargetMode="External"/><Relationship Id="rId112" Type="http://schemas.openxmlformats.org/officeDocument/2006/relationships/hyperlink" Target="https://www.elixir-europe.org/about/funding-model" TargetMode="External"/><Relationship Id="rId113" Type="http://schemas.openxmlformats.org/officeDocument/2006/relationships/hyperlink" Target="http://cordis.europa.eu/projects/601043" TargetMode="External"/><Relationship Id="rId114" Type="http://schemas.openxmlformats.org/officeDocument/2006/relationships/hyperlink" Target="http://cordis.europa.eu/project/rcn/104477_en.html" TargetMode="External"/><Relationship Id="rId115" Type="http://schemas.openxmlformats.org/officeDocument/2006/relationships/hyperlink" Target="http://www.imi.europa.eu/content/ddmore" TargetMode="External"/><Relationship Id="rId116" Type="http://schemas.openxmlformats.org/officeDocument/2006/relationships/hyperlink" Target="http://www.bbsrc.ac.uk/research/grants-search/AwardDetails/?FundingReference=BB/L005050/1" TargetMode="External"/><Relationship Id="rId117" Type="http://schemas.openxmlformats.org/officeDocument/2006/relationships/hyperlink" Target="http://www.bbsrc.ac.uk/research/grants-search/AwardDetails/?FundingReference=BB/M013189/1" TargetMode="External"/><Relationship Id="rId118" Type="http://schemas.openxmlformats.org/officeDocument/2006/relationships/hyperlink" Target="http://www.bbsrc.ac.uk/research/grants-search/AwardDetails/?FundingReference=BB/K019783/1" TargetMode="External"/><Relationship Id="rId119" Type="http://schemas.openxmlformats.org/officeDocument/2006/relationships/hyperlink" Target="http://www.bbsrc.ac.uk/research/grants-search/AwardDetails/?FundingReference=BB/M006891/1" TargetMode="External"/><Relationship Id="rId150" Type="http://schemas.openxmlformats.org/officeDocument/2006/relationships/hyperlink" Target="http://dx.doi.org/10.17487/RFC2119" TargetMode="External"/><Relationship Id="rId151" Type="http://schemas.openxmlformats.org/officeDocument/2006/relationships/hyperlink" Target="http://www.ebi.ac.uk/Tools/picr/RESTDocumentation.do" TargetMode="External"/><Relationship Id="rId152" Type="http://schemas.openxmlformats.org/officeDocument/2006/relationships/hyperlink" Target="https://www.w3.org/TR/2015/NOTE-hcls-dataset-20150514/" TargetMode="External"/><Relationship Id="rId10" Type="http://schemas.openxmlformats.org/officeDocument/2006/relationships/hyperlink" Target="https://www.force11.org/datacitation" TargetMode="External"/><Relationship Id="rId11" Type="http://schemas.openxmlformats.org/officeDocument/2006/relationships/hyperlink" Target="http://iassistdata.org/sites/default/files/iq/iqvol371_4_altman.pdf" TargetMode="External"/><Relationship Id="rId12" Type="http://schemas.openxmlformats.org/officeDocument/2006/relationships/hyperlink" Target="http://f1000research.com/articles/4-134/v1" TargetMode="External"/><Relationship Id="rId13" Type="http://schemas.openxmlformats.org/officeDocument/2006/relationships/hyperlink" Target="https://www.force11.org/group/fairgroup/fairprinciples" TargetMode="External"/><Relationship Id="rId14" Type="http://schemas.openxmlformats.org/officeDocument/2006/relationships/hyperlink" Target="https://dx.doi.org/10.7287/peerj.preprints.697v4" TargetMode="External"/><Relationship Id="rId15" Type="http://schemas.openxmlformats.org/officeDocument/2006/relationships/hyperlink" Target="http://www.ietf.org/rfc/rfc2119.txt" TargetMode="External"/><Relationship Id="rId16" Type="http://schemas.openxmlformats.org/officeDocument/2006/relationships/hyperlink" Target="http://www.ebi.ac.uk/Tools/picr/RESTDocumentation.do" TargetMode="External"/><Relationship Id="rId17" Type="http://schemas.openxmlformats.org/officeDocument/2006/relationships/hyperlink" Target="https://www.w3.org/TR/hcls-dataset/" TargetMode="External"/><Relationship Id="rId18" Type="http://schemas.openxmlformats.org/officeDocument/2006/relationships/hyperlink" Target="https://jats.nlm.nih.gov/" TargetMode="External"/><Relationship Id="rId19" Type="http://schemas.openxmlformats.org/officeDocument/2006/relationships/hyperlink" Target="http://mementoweb.org/guide/rfc/" TargetMode="External"/><Relationship Id="rId153" Type="http://schemas.openxmlformats.org/officeDocument/2006/relationships/hyperlink" Target="http://www.ncbi.nlm.nih.gov/books/NBK280240/?report=classic" TargetMode="External"/><Relationship Id="rId154" Type="http://schemas.openxmlformats.org/officeDocument/2006/relationships/hyperlink" Target="http://www.ncbi.nlm.nih.gov/books/NBK280240/?report=classic" TargetMode="External"/><Relationship Id="rId155" Type="http://schemas.openxmlformats.org/officeDocument/2006/relationships/hyperlink" Target="http://dx.doi.org/10.17487/RFC7089" TargetMode="External"/><Relationship Id="rId156" Type="http://schemas.openxmlformats.org/officeDocument/2006/relationships/hyperlink" Target="http://www.rfc-editor.org/info/rfc7089" TargetMode="External"/><Relationship Id="rId157" Type="http://schemas.openxmlformats.org/officeDocument/2006/relationships/hyperlink" Target="http://bioschemas.org" TargetMode="External"/><Relationship Id="rId158" Type="http://schemas.openxmlformats.org/officeDocument/2006/relationships/hyperlink" Target="http://dx.doi.org/10.3897/zookeys.494.9352" TargetMode="External"/><Relationship Id="rId159" Type="http://schemas.openxmlformats.org/officeDocument/2006/relationships/hyperlink" Target="http://dx.doi.org/10.3897/zookeys.494.9352" TargetMode="External"/><Relationship Id="rId50" Type="http://schemas.openxmlformats.org/officeDocument/2006/relationships/hyperlink" Target="http://www.informatics.jax.org/marker/MGI:2442292" TargetMode="External"/><Relationship Id="rId51" Type="http://schemas.openxmlformats.org/officeDocument/2006/relationships/hyperlink" Target="https://scigraph-data.monarchinitiative.org/scigraph/graph/MGI:97488" TargetMode="External"/><Relationship Id="rId52" Type="http://schemas.openxmlformats.org/officeDocument/2006/relationships/hyperlink" Target="https://www.force11.org/datacitation" TargetMode="External"/><Relationship Id="rId53" Type="http://schemas.openxmlformats.org/officeDocument/2006/relationships/hyperlink" Target="http://www.cdlib.org/services/uc3/arkspec.pdf" TargetMode="External"/><Relationship Id="rId54" Type="http://schemas.openxmlformats.org/officeDocument/2006/relationships/hyperlink" Target="http://dx.doi.org/10.7717/peerj-cs.1" TargetMode="External"/><Relationship Id="rId55" Type="http://schemas.openxmlformats.org/officeDocument/2006/relationships/hyperlink" Target="https://www.datacite.org/" TargetMode="External"/><Relationship Id="rId56" Type="http://schemas.openxmlformats.org/officeDocument/2006/relationships/hyperlink" Target="http://www.crossref.org/" TargetMode="External"/><Relationship Id="rId57" Type="http://schemas.openxmlformats.org/officeDocument/2006/relationships/hyperlink" Target="http://identifiers.org/" TargetMode="External"/><Relationship Id="rId58" Type="http://schemas.openxmlformats.org/officeDocument/2006/relationships/hyperlink" Target="http://handle.net/" TargetMode="External"/><Relationship Id="rId59" Type="http://schemas.openxmlformats.org/officeDocument/2006/relationships/hyperlink" Target="https://purl.oclc.org/" TargetMode="External"/><Relationship Id="rId90" Type="http://schemas.openxmlformats.org/officeDocument/2006/relationships/hyperlink" Target="http://www.uniprot.org/uniprot/P12345.302" TargetMode="External"/><Relationship Id="rId91" Type="http://schemas.openxmlformats.org/officeDocument/2006/relationships/hyperlink" Target="http://www.uniprot.org/uniprot/P12345.302" TargetMode="External"/><Relationship Id="rId92" Type="http://schemas.openxmlformats.org/officeDocument/2006/relationships/hyperlink" Target="http://www.uniprot.org/uniprot/P12345.3" TargetMode="External"/><Relationship Id="rId93" Type="http://schemas.openxmlformats.org/officeDocument/2006/relationships/hyperlink" Target="http://www.uniprot.org/uniprot/P12345.3" TargetMode="External"/><Relationship Id="rId94" Type="http://schemas.openxmlformats.org/officeDocument/2006/relationships/hyperlink" Target="http://www.uniprot.org/uniprot/P12345.3" TargetMode="External"/><Relationship Id="rId95" Type="http://schemas.openxmlformats.org/officeDocument/2006/relationships/hyperlink" Target="http://www.uniprot.org/uniprot/P12345" TargetMode="External"/><Relationship Id="rId96" Type="http://schemas.openxmlformats.org/officeDocument/2006/relationships/hyperlink" Target="http://www.uniprot.org/uniprot/P12345?version=*" TargetMode="External"/><Relationship Id="rId97" Type="http://schemas.openxmlformats.org/officeDocument/2006/relationships/hyperlink" Target="mailto:http://Jul2015.archive.ensembl.org/Mus_musculus/Gene/Summary%3Fg=ENSMUSG00000033577" TargetMode="External"/><Relationship Id="rId98" Type="http://schemas.openxmlformats.org/officeDocument/2006/relationships/hyperlink" Target="http://jul2015.archive.ensembl.org/Mus_musculus/Gene/Summary?g=ENSMUSG00000033577;r=9:80165031-80311729;redirect=no" TargetMode="External"/><Relationship Id="rId99" Type="http://schemas.openxmlformats.org/officeDocument/2006/relationships/hyperlink" Target="http://www.uniprot.org/uniprot/P12345.1" TargetMode="External"/><Relationship Id="rId120" Type="http://schemas.openxmlformats.org/officeDocument/2006/relationships/hyperlink" Target="http://www.bbsrc.ac.uk/research/grants-search/AwardDetails/?FundingReference=BB/M017702/1" TargetMode="External"/><Relationship Id="rId121" Type="http://schemas.openxmlformats.org/officeDocument/2006/relationships/hyperlink" Target="http://www.bbsrc.ac.uk/research/grants-search/AwardDetails/?FundingReference=BBS/E/B/000C0419" TargetMode="External"/><Relationship Id="rId122" Type="http://schemas.openxmlformats.org/officeDocument/2006/relationships/hyperlink" Target="http://www.bbsrc.ac.uk/research/grants-search/AwardDetails/?FundingReference=BB/L005069/1" TargetMode="External"/><Relationship Id="rId123" Type="http://schemas.openxmlformats.org/officeDocument/2006/relationships/hyperlink" Target="http://taggs.hhs.gov/AwardDetail.cfm?s_Award_Num=U41HG007822" TargetMode="External"/><Relationship Id="rId124" Type="http://schemas.openxmlformats.org/officeDocument/2006/relationships/hyperlink" Target="http://taggs.hhs.gov/AwardDetail.cfm?s_Award_Num=U24AI117966" TargetMode="External"/><Relationship Id="rId125" Type="http://schemas.openxmlformats.org/officeDocument/2006/relationships/hyperlink" Target="http://taggs.hhs.gov/AwardDetail.cfm?s_Award_Num=U54AI117925" TargetMode="External"/><Relationship Id="rId126" Type="http://schemas.openxmlformats.org/officeDocument/2006/relationships/hyperlink" Target="http://taggs.hhs.gov/AwardDetail.cfm?s_Award_Num=R24OD011883" TargetMode="External"/><Relationship Id="rId127" Type="http://schemas.openxmlformats.org/officeDocument/2006/relationships/hyperlink" Target="http://taggs.hhs.gov/AwardDetail.cfm?s_Award_Num=P41HG002273" TargetMode="External"/><Relationship Id="rId128" Type="http://schemas.openxmlformats.org/officeDocument/2006/relationships/hyperlink" Target="http://science.energy.gov/bso/contract-management/" TargetMode="External"/><Relationship Id="rId129" Type="http://schemas.openxmlformats.org/officeDocument/2006/relationships/hyperlink" Target="http://orcid.org/0000-0002-7033-5362" TargetMode="External"/><Relationship Id="rId160" Type="http://schemas.openxmlformats.org/officeDocument/2006/relationships/hyperlink" Target="http://www.w3.org/Provider/Style/URI.html" TargetMode="External"/><Relationship Id="rId161" Type="http://schemas.openxmlformats.org/officeDocument/2006/relationships/hyperlink" Target="http://manu.sporny.org/2011/case-for-curies/" TargetMode="External"/><Relationship Id="rId162" Type="http://schemas.openxmlformats.org/officeDocument/2006/relationships/hyperlink" Target="http://www.w3.org/TR/2010/NOTE-curie-20101216" TargetMode="External"/><Relationship Id="rId20" Type="http://schemas.openxmlformats.org/officeDocument/2006/relationships/hyperlink" Target="http://bioschemas.org/" TargetMode="External"/><Relationship Id="rId21" Type="http://schemas.openxmlformats.org/officeDocument/2006/relationships/image" Target="media/image1.png"/><Relationship Id="rId22" Type="http://schemas.openxmlformats.org/officeDocument/2006/relationships/hyperlink" Target="http://dx.doi.org/10.3897/zookeys.494.9352" TargetMode="External"/><Relationship Id="rId23" Type="http://schemas.openxmlformats.org/officeDocument/2006/relationships/hyperlink" Target="http://europepmc.org/abstract/MED/9606" TargetMode="External"/><Relationship Id="rId24" Type="http://schemas.openxmlformats.org/officeDocument/2006/relationships/hyperlink" Target="http://birdgenenames.org/cgnc/GeneReport?id=9606" TargetMode="External"/><Relationship Id="rId25" Type="http://schemas.openxmlformats.org/officeDocument/2006/relationships/hyperlink" Target="https://pubchem.ncbi.nlm.nih.gov/compound/3-Fluorotoluene" TargetMode="External"/><Relationship Id="rId26" Type="http://schemas.openxmlformats.org/officeDocument/2006/relationships/hyperlink" Target="http://www.ncbi.nlm.nih.gov/Taxonomy/Browser/wwwtax.cgi?id=9606" TargetMode="External"/><Relationship Id="rId27" Type="http://schemas.openxmlformats.org/officeDocument/2006/relationships/hyperlink" Target="http://www.boldsystems.org/index.php/Taxbrowser_Taxonpage?taxid=9606" TargetMode="External"/><Relationship Id="rId28" Type="http://schemas.openxmlformats.org/officeDocument/2006/relationships/hyperlink" Target="http://www.ars-grin.gov/cgi-bin/npgs/html/taxon.pl?9606" TargetMode="External"/><Relationship Id="rId29" Type="http://schemas.openxmlformats.org/officeDocument/2006/relationships/hyperlink" Target="http://www.w3.org/Provider/Style/URI" TargetMode="External"/><Relationship Id="rId163" Type="http://schemas.openxmlformats.org/officeDocument/2006/relationships/hyperlink" Target="https://github.com/prefixcommons/biocontext" TargetMode="External"/><Relationship Id="rId164" Type="http://schemas.openxmlformats.org/officeDocument/2006/relationships/hyperlink" Target="http://www.w3.org/Addressing/URL/uri-spec.html" TargetMode="External"/><Relationship Id="rId165" Type="http://schemas.openxmlformats.org/officeDocument/2006/relationships/hyperlink" Target="http://dx.doi.org/10.1186/1471-2105-5-80" TargetMode="External"/><Relationship Id="rId166" Type="http://schemas.openxmlformats.org/officeDocument/2006/relationships/hyperlink" Target="http://dx.doi.org/10.1186/s13059-016-1044-7" TargetMode="External"/><Relationship Id="rId167" Type="http://schemas.openxmlformats.org/officeDocument/2006/relationships/hyperlink" Target="http://www.cdlib.org/services/uc3/arkspec.pdf" TargetMode="External"/><Relationship Id="rId168" Type="http://schemas.openxmlformats.org/officeDocument/2006/relationships/hyperlink" Target="http://www.cdlib.org/services/uc3/arkspec.pdf" TargetMode="External"/><Relationship Id="rId169" Type="http://schemas.openxmlformats.org/officeDocument/2006/relationships/hyperlink" Target="https://wiki.ucop.edu/display/Curation/ARK" TargetMode="External"/><Relationship Id="rId60" Type="http://schemas.openxmlformats.org/officeDocument/2006/relationships/hyperlink" Target="http://www.pidconsortium.eu/" TargetMode="External"/><Relationship Id="rId61" Type="http://schemas.openxmlformats.org/officeDocument/2006/relationships/hyperlink" Target="https://wiki.ucop.edu/display/Curation/ARK" TargetMode="External"/><Relationship Id="rId62" Type="http://schemas.openxmlformats.org/officeDocument/2006/relationships/hyperlink" Target="http://dx.doi.org/10.7717/peerj-cs.1" TargetMode="External"/><Relationship Id="rId63" Type="http://schemas.openxmlformats.org/officeDocument/2006/relationships/hyperlink" Target="http://www.cdlib.org/services/uc3/arkspec.pdf" TargetMode="External"/><Relationship Id="rId64" Type="http://schemas.openxmlformats.org/officeDocument/2006/relationships/hyperlink" Target="https://www.w3.org/Provider/Style/URI.html" TargetMode="External"/><Relationship Id="rId65" Type="http://schemas.openxmlformats.org/officeDocument/2006/relationships/hyperlink" Target="http://example.com/explore?record=A123456" TargetMode="External"/><Relationship Id="rId66" Type="http://schemas.openxmlformats.org/officeDocument/2006/relationships/hyperlink" Target="http://example.com/explore?record=A123456" TargetMode="External"/><Relationship Id="rId67" Type="http://schemas.openxmlformats.org/officeDocument/2006/relationships/hyperlink" Target="http://example.com/explore?record=A123456" TargetMode="External"/><Relationship Id="rId68" Type="http://schemas.openxmlformats.org/officeDocument/2006/relationships/hyperlink" Target="http://example.com/A123456" TargetMode="External"/><Relationship Id="rId69" Type="http://schemas.openxmlformats.org/officeDocument/2006/relationships/hyperlink" Target="http://example.com/vertebrates/mammals/rodents/rat/white-rat/A123456" TargetMode="External"/><Relationship Id="rId130" Type="http://schemas.openxmlformats.org/officeDocument/2006/relationships/hyperlink" Target="http://orcid.org/0000-0001-8314-8497" TargetMode="External"/><Relationship Id="rId131" Type="http://schemas.openxmlformats.org/officeDocument/2006/relationships/hyperlink" Target="http://orcid.org/0000-0002-7445-2419" TargetMode="External"/><Relationship Id="rId132" Type="http://schemas.openxmlformats.org/officeDocument/2006/relationships/hyperlink" Target="http://orcid.org/0000-0001-9950-520" TargetMode="External"/><Relationship Id="rId133" Type="http://schemas.openxmlformats.org/officeDocument/2006/relationships/hyperlink" Target="http://orcid.org/0000-0002-4733-3270" TargetMode="External"/><Relationship Id="rId134" Type="http://schemas.openxmlformats.org/officeDocument/2006/relationships/hyperlink" Target="http://orcid.org/0000-0002-0703-6984" TargetMode="External"/><Relationship Id="rId135" Type="http://schemas.openxmlformats.org/officeDocument/2006/relationships/hyperlink" Target="http://orcid.org/0000-0002-2548-641X" TargetMode="External"/><Relationship Id="rId136" Type="http://schemas.openxmlformats.org/officeDocument/2006/relationships/hyperlink" Target="http://orcid.org/0000-0001-7588-5673" TargetMode="External"/><Relationship Id="rId137" Type="http://schemas.openxmlformats.org/officeDocument/2006/relationships/hyperlink" Target="http://orcid.org/0000-0002-0851-7990" TargetMode="External"/><Relationship Id="rId138" Type="http://schemas.openxmlformats.org/officeDocument/2006/relationships/hyperlink" Target="http://orcid.org/0000-0003-4060-7360" TargetMode="External"/><Relationship Id="rId139" Type="http://schemas.openxmlformats.org/officeDocument/2006/relationships/hyperlink" Target="http://dx.doi.org/10.2218/ijdc.v9i1.320" TargetMode="External"/><Relationship Id="rId170" Type="http://schemas.openxmlformats.org/officeDocument/2006/relationships/hyperlink" Target="http://f1000r.es/4ja" TargetMode="External"/><Relationship Id="rId171" Type="http://schemas.openxmlformats.org/officeDocument/2006/relationships/hyperlink" Target="http://f1000r.es/4ja" TargetMode="External"/><Relationship Id="rId172" Type="http://schemas.openxmlformats.org/officeDocument/2006/relationships/hyperlink" Target="http://dx.doi.org/10.12688/f1000research.3979.3" TargetMode="External"/><Relationship Id="rId30" Type="http://schemas.openxmlformats.org/officeDocument/2006/relationships/hyperlink" Target="http://dx.doi.org/10.1371/journal.pone.0115253" TargetMode="External"/><Relationship Id="rId31" Type="http://schemas.openxmlformats.org/officeDocument/2006/relationships/hyperlink" Target="https://en.wikipedia.org/wiki/Domain_Name_System" TargetMode="External"/><Relationship Id="rId32" Type="http://schemas.openxmlformats.org/officeDocument/2006/relationships/hyperlink" Target="http://manu.sporny.org/2011/case-for-curies/" TargetMode="External"/><Relationship Id="rId33" Type="http://schemas.openxmlformats.org/officeDocument/2006/relationships/hyperlink" Target="https://github.com/prefixcommons/biocontext" TargetMode="External"/><Relationship Id="rId34" Type="http://schemas.openxmlformats.org/officeDocument/2006/relationships/hyperlink" Target="http://purl.uniprot.org/uniprot/A0A022YWF9" TargetMode="External"/><Relationship Id="rId35" Type="http://schemas.openxmlformats.org/officeDocument/2006/relationships/hyperlink" Target="http://purl.uniprot.org/uniprot/A0A022YWF9" TargetMode="External"/><Relationship Id="rId36" Type="http://schemas.openxmlformats.org/officeDocument/2006/relationships/hyperlink" Target="http://purl.uniprot.org/uniprot/A0A022YWF9" TargetMode="External"/><Relationship Id="rId37" Type="http://schemas.openxmlformats.org/officeDocument/2006/relationships/hyperlink" Target="http://purl.uniprot.org/uniprot/A0A022YWF9" TargetMode="External"/><Relationship Id="rId38" Type="http://schemas.openxmlformats.org/officeDocument/2006/relationships/hyperlink" Target="http://zfin.org/" TargetMode="External"/><Relationship Id="rId39" Type="http://schemas.openxmlformats.org/officeDocument/2006/relationships/hyperlink" Target="http://zfin.org/ZDB-GENE-980526-388" TargetMode="External"/><Relationship Id="rId173" Type="http://schemas.openxmlformats.org/officeDocument/2006/relationships/hyperlink" Target="http://dx.doi.org/10.1093/database/bar067" TargetMode="External"/><Relationship Id="rId174" Type="http://schemas.openxmlformats.org/officeDocument/2006/relationships/hyperlink" Target="http://www.w3.org/TR/hcls-dataset/" TargetMode="External"/><Relationship Id="rId175" Type="http://schemas.openxmlformats.org/officeDocument/2006/relationships/hyperlink" Target="http://www.w3.org/TR/hcls-dataset/" TargetMode="External"/><Relationship Id="rId176" Type="http://schemas.openxmlformats.org/officeDocument/2006/relationships/hyperlink" Target="https://github.com/monarch-initiative/dipper/blob/master/README.md" TargetMode="External"/><Relationship Id="rId177" Type="http://schemas.openxmlformats.org/officeDocument/2006/relationships/hyperlink" Target="https://www.wikidata.org/" TargetMode="External"/><Relationship Id="rId178" Type="http://schemas.openxmlformats.org/officeDocument/2006/relationships/header" Target="header1.xml"/><Relationship Id="rId179" Type="http://schemas.openxmlformats.org/officeDocument/2006/relationships/fontTable" Target="fontTable.xml"/><Relationship Id="rId70" Type="http://schemas.openxmlformats.org/officeDocument/2006/relationships/hyperlink" Target="http://example.com/$id/view.do" TargetMode="External"/><Relationship Id="rId71" Type="http://schemas.openxmlformats.org/officeDocument/2006/relationships/image" Target="media/image2.png"/><Relationship Id="rId72" Type="http://schemas.openxmlformats.org/officeDocument/2006/relationships/hyperlink" Target="http://jul2015.archive.ensembl.org/Mus_musculus/Gene/Summary?g=ENSMUSG00000033577" TargetMode="External"/><Relationship Id="rId73" Type="http://schemas.openxmlformats.org/officeDocument/2006/relationships/hyperlink" Target="http://www.uniprot.org/uniprot/P12345.3" TargetMode="External"/><Relationship Id="rId74" Type="http://schemas.openxmlformats.org/officeDocument/2006/relationships/hyperlink" Target="http://www.uniprot.org/uniprot/P12345.3" TargetMode="External"/><Relationship Id="rId75" Type="http://schemas.openxmlformats.org/officeDocument/2006/relationships/hyperlink" Target="http://www.uniprot.org/uniprot/P12345.3" TargetMode="External"/><Relationship Id="rId76" Type="http://schemas.openxmlformats.org/officeDocument/2006/relationships/hyperlink" Target="http://f1000r.es/4ja" TargetMode="External"/><Relationship Id="rId77" Type="http://schemas.openxmlformats.org/officeDocument/2006/relationships/hyperlink" Target="http://www.uniprot.org/uniprot/P12345.3" TargetMode="External"/><Relationship Id="rId78" Type="http://schemas.openxmlformats.org/officeDocument/2006/relationships/hyperlink" Target="http://www.uniprot.org/uniprot/P12345.3" TargetMode="External"/><Relationship Id="rId79" Type="http://schemas.openxmlformats.org/officeDocument/2006/relationships/hyperlink" Target="http://www.uniprot.org/uniprot/P12345.3"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100" Type="http://schemas.openxmlformats.org/officeDocument/2006/relationships/image" Target="media/image3.png"/><Relationship Id="rId101" Type="http://schemas.openxmlformats.org/officeDocument/2006/relationships/hyperlink" Target="http://purl.obolibrary.org/obo/IAO_0100001" TargetMode="External"/><Relationship Id="rId102" Type="http://schemas.openxmlformats.org/officeDocument/2006/relationships/hyperlink" Target="http://purl.obolibrary.org/obo/IAO_0100001" TargetMode="External"/><Relationship Id="rId103" Type="http://schemas.openxmlformats.org/officeDocument/2006/relationships/hyperlink" Target="http://purl.obolibrary.org/obo/oboInOwl_consider" TargetMode="External"/><Relationship Id="rId104" Type="http://schemas.openxmlformats.org/officeDocument/2006/relationships/hyperlink" Target="http://www.uniprot.org/uniprot/A0AV18" TargetMode="External"/><Relationship Id="rId105" Type="http://schemas.openxmlformats.org/officeDocument/2006/relationships/hyperlink" Target="http://www.uniprot.org/help/deleted_accessions" TargetMode="External"/><Relationship Id="rId106" Type="http://schemas.openxmlformats.org/officeDocument/2006/relationships/hyperlink" Target="http://www.uniprot.org/help/deleted_accessions" TargetMode="External"/><Relationship Id="rId107" Type="http://schemas.openxmlformats.org/officeDocument/2006/relationships/hyperlink" Target="http://www.uniprot.org/uniprot/P29358" TargetMode="External"/><Relationship Id="rId108" Type="http://schemas.openxmlformats.org/officeDocument/2006/relationships/hyperlink" Target="https://htmlpreview.github.io/?https://github.com/indiedotkim/HCLSDatasetDescriptions/blob/master/Overview.html" TargetMode="External"/><Relationship Id="rId109" Type="http://schemas.openxmlformats.org/officeDocument/2006/relationships/hyperlink" Target="https://github.com/monarch-initiative/dipper/blob/master/README.md" TargetMode="Externa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dx.doi.org/10.2218/ijdc.v9i1.320" TargetMode="External"/><Relationship Id="rId9" Type="http://schemas.openxmlformats.org/officeDocument/2006/relationships/hyperlink" Target="http://zookeys.pensoft.net/articles.php?id=5042" TargetMode="External"/><Relationship Id="rId140" Type="http://schemas.openxmlformats.org/officeDocument/2006/relationships/hyperlink" Target="http://dx.doi.org/10.3897/zookeys.494.9352" TargetMode="External"/><Relationship Id="rId141" Type="http://schemas.openxmlformats.org/officeDocument/2006/relationships/hyperlink" Target="https://www.force11.org/dataci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8831</Words>
  <Characters>50337</Characters>
  <Application>Microsoft Macintosh Word</Application>
  <DocSecurity>0</DocSecurity>
  <Lines>419</Lines>
  <Paragraphs>118</Paragraphs>
  <ScaleCrop>false</ScaleCrop>
  <Company/>
  <LinksUpToDate>false</LinksUpToDate>
  <CharactersWithSpaces>59050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Julie McMurry</cp:lastModifiedBy>
  <cp:revision>3</cp:revision>
  <cp:lastPrinted>2016-10-26T22:38:00Z</cp:lastPrinted>
  <dcterms:created xsi:type="dcterms:W3CDTF">2016-10-26T22:38:00Z</dcterms:created>
  <dcterms:modified xsi:type="dcterms:W3CDTF">2016-10-26T22:40:00Z</dcterms:modified>
</cp:coreProperties>
</file>